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DAFE1" w14:textId="77777777" w:rsidR="002C7043" w:rsidRDefault="002C7043">
      <w:pPr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2E8A3AC7" w14:textId="5C764E2A" w:rsidR="00974BF1" w:rsidRPr="00E366EF" w:rsidRDefault="00974BF1" w:rsidP="00974BF1">
      <w:pPr>
        <w:spacing w:before="240" w:line="360" w:lineRule="auto"/>
        <w:jc w:val="right"/>
        <w:rPr>
          <w:rFonts w:ascii="Calibri" w:hAnsi="Calibri" w:cs="Calibri"/>
        </w:rPr>
      </w:pPr>
      <w:r w:rsidRPr="00E366EF">
        <w:rPr>
          <w:rFonts w:ascii="Calibri" w:hAnsi="Calibri" w:cs="Calibri"/>
        </w:rPr>
        <w:t xml:space="preserve">Warszawa | 2 </w:t>
      </w:r>
      <w:r>
        <w:rPr>
          <w:rFonts w:ascii="Calibri" w:hAnsi="Calibri" w:cs="Calibri"/>
        </w:rPr>
        <w:t>lipca</w:t>
      </w:r>
      <w:r w:rsidRPr="00E366EF">
        <w:rPr>
          <w:rFonts w:ascii="Calibri" w:hAnsi="Calibri" w:cs="Calibri"/>
        </w:rPr>
        <w:t xml:space="preserve"> 202</w:t>
      </w:r>
      <w:r>
        <w:rPr>
          <w:rFonts w:ascii="Calibri" w:hAnsi="Calibri" w:cs="Calibri"/>
        </w:rPr>
        <w:t>4</w:t>
      </w:r>
      <w:r w:rsidRPr="00E366EF">
        <w:rPr>
          <w:rFonts w:ascii="Calibri" w:hAnsi="Calibri" w:cs="Calibri"/>
        </w:rPr>
        <w:t xml:space="preserve"> r.</w:t>
      </w:r>
    </w:p>
    <w:p w14:paraId="2205DFBE" w14:textId="77777777" w:rsidR="000958F9" w:rsidRDefault="000958F9">
      <w:pPr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073DAFE2" w14:textId="0A5CB7DA" w:rsidR="002C7043" w:rsidRDefault="007A73D0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Branża PR ogłasza nowy standard ilościowego mierzenia skuteczności kampanii komunikacyjnych</w:t>
      </w:r>
    </w:p>
    <w:p w14:paraId="073DAFE3" w14:textId="77777777" w:rsidR="002C7043" w:rsidRDefault="002C7043">
      <w:pPr>
        <w:jc w:val="both"/>
        <w:rPr>
          <w:rFonts w:ascii="Calibri" w:eastAsia="Calibri" w:hAnsi="Calibri" w:cs="Calibri"/>
        </w:rPr>
      </w:pPr>
    </w:p>
    <w:p w14:paraId="073DAFE4" w14:textId="1B6F2ED8" w:rsidR="002C7043" w:rsidRPr="002433E2" w:rsidRDefault="007A73D0" w:rsidP="002433E2">
      <w:pPr>
        <w:spacing w:before="240" w:after="24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2433E2">
        <w:rPr>
          <w:rFonts w:ascii="Calibri" w:eastAsia="Calibri" w:hAnsi="Calibri" w:cs="Calibri"/>
          <w:b/>
        </w:rPr>
        <w:t xml:space="preserve">Klub Dyrektorek i Dyrektorów PR, wspólnie ze Związkiem Firm PR, Instytutem Monitorowania Mediów (IMM) oraz </w:t>
      </w:r>
      <w:r w:rsidR="002433E2">
        <w:rPr>
          <w:rFonts w:ascii="Calibri" w:eastAsia="Calibri" w:hAnsi="Calibri" w:cs="Calibri"/>
          <w:b/>
        </w:rPr>
        <w:t>Sotrenderem</w:t>
      </w:r>
      <w:r w:rsidRPr="002433E2">
        <w:rPr>
          <w:rFonts w:ascii="Calibri" w:eastAsia="Calibri" w:hAnsi="Calibri" w:cs="Calibri"/>
          <w:b/>
        </w:rPr>
        <w:t>, opracował nowy standard mierzenia skuteczności działań PR. Celem projektu „Zmierz PR”</w:t>
      </w:r>
      <w:r w:rsidRPr="002433E2"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r w:rsidRPr="002433E2">
        <w:rPr>
          <w:rFonts w:ascii="Calibri" w:eastAsia="Calibri" w:hAnsi="Calibri" w:cs="Calibri"/>
          <w:b/>
          <w:color w:val="000000"/>
        </w:rPr>
        <w:t>jest ułatwienie rzetelnej oceny efektywności działań komunikacyjnych oraz wsparcie w podejmowaniu decyzji dotyczących inwestycji w PR</w:t>
      </w:r>
      <w:r w:rsidRPr="002433E2">
        <w:rPr>
          <w:rFonts w:ascii="Calibri" w:eastAsia="Calibri" w:hAnsi="Calibri" w:cs="Calibri"/>
          <w:color w:val="000000"/>
        </w:rPr>
        <w:t>.</w:t>
      </w:r>
    </w:p>
    <w:p w14:paraId="073DAFE5" w14:textId="77777777" w:rsidR="002C7043" w:rsidRPr="002433E2" w:rsidRDefault="007A73D0" w:rsidP="002433E2">
      <w:pPr>
        <w:spacing w:before="240" w:after="240" w:line="276" w:lineRule="auto"/>
        <w:jc w:val="both"/>
        <w:rPr>
          <w:rFonts w:ascii="Calibri" w:eastAsia="Calibri" w:hAnsi="Calibri" w:cs="Calibri"/>
          <w:color w:val="000000"/>
        </w:rPr>
      </w:pPr>
      <w:r w:rsidRPr="002433E2">
        <w:rPr>
          <w:rFonts w:ascii="Calibri" w:eastAsia="Calibri" w:hAnsi="Calibri" w:cs="Calibri"/>
          <w:color w:val="000000"/>
        </w:rPr>
        <w:t xml:space="preserve">Mierzenie skuteczności działań public relations ma istotne znaczenie strategiczne dla biznesu, natomiast nie należy do najprostszych zadań, a dowodem na to mogą być między innymi trwające już od wielu lat dyskusje w branży. Wyzwania związane z pomiarem wynikają przede wszystkim ze specyfiki PR-u, który polega na budowaniu i ochronie reputacji, świadomości, a także tworzeniu relacji ze społeczeństwem oraz interesariuszami. </w:t>
      </w:r>
    </w:p>
    <w:p w14:paraId="073DAFE6" w14:textId="77777777" w:rsidR="002C7043" w:rsidRPr="002433E2" w:rsidRDefault="007A73D0" w:rsidP="002433E2">
      <w:pPr>
        <w:spacing w:before="240" w:after="240" w:line="276" w:lineRule="auto"/>
        <w:jc w:val="both"/>
        <w:rPr>
          <w:rFonts w:ascii="Calibri" w:eastAsia="Calibri" w:hAnsi="Calibri" w:cs="Calibri"/>
          <w:color w:val="000000"/>
        </w:rPr>
      </w:pPr>
      <w:r w:rsidRPr="002433E2">
        <w:rPr>
          <w:rFonts w:ascii="Calibri" w:eastAsia="Calibri" w:hAnsi="Calibri" w:cs="Calibri"/>
          <w:color w:val="000000"/>
        </w:rPr>
        <w:t>W przypadku public relations nie istnieje jedna uniwersalna metoda pomiaru efektów. W zależności od planu kampanii oraz podejmowanych działań komunikacyjnych należy dobierać odpowiednie metody i mierniki. Jak wynika z raportu Muck Rack „</w:t>
      </w:r>
      <w:r w:rsidRPr="002433E2">
        <w:rPr>
          <w:rFonts w:ascii="Calibri" w:eastAsia="Calibri" w:hAnsi="Calibri" w:cs="Calibri"/>
        </w:rPr>
        <w:t xml:space="preserve">State of PR Measurement 2023”, aż </w:t>
      </w:r>
      <w:r w:rsidRPr="002433E2">
        <w:rPr>
          <w:rFonts w:ascii="Calibri" w:eastAsia="Calibri" w:hAnsi="Calibri" w:cs="Calibri"/>
          <w:color w:val="000000"/>
        </w:rPr>
        <w:t xml:space="preserve">47% specjalistów PR poświęca co najmniej jedną czwartą swojego czasu na pomiar mediów i raportowanie. Co więcej, to liczba opublikowanych artykułów została wskazana jako najważniejszy wskaźnik sukcesu działań PR zarówno przez przedstawicieli agencji PR, jak i marek. Tradycyjne metody mierzenia zasięgu PR, takie jak właśnie liczba wygenerowanych artykułów czy liczba obserwujących w mediach społecznościowych, często bywają niewystarczające i nie oddają w pełni wpływu działań PR na biznes. </w:t>
      </w:r>
    </w:p>
    <w:p w14:paraId="073DAFE7" w14:textId="77777777" w:rsidR="002C7043" w:rsidRPr="002433E2" w:rsidRDefault="007A73D0" w:rsidP="002433E2">
      <w:pPr>
        <w:spacing w:before="240" w:after="240" w:line="276" w:lineRule="auto"/>
        <w:jc w:val="both"/>
        <w:rPr>
          <w:rFonts w:ascii="Calibri" w:eastAsia="Calibri" w:hAnsi="Calibri" w:cs="Calibri"/>
          <w:color w:val="000000"/>
        </w:rPr>
      </w:pPr>
      <w:r w:rsidRPr="002433E2">
        <w:rPr>
          <w:rFonts w:ascii="Calibri" w:eastAsia="Calibri" w:hAnsi="Calibri" w:cs="Calibri"/>
          <w:color w:val="000000"/>
        </w:rPr>
        <w:t xml:space="preserve">Przez wiele lat głównym wskaźnikiem pomiaru było </w:t>
      </w:r>
      <w:r w:rsidRPr="002433E2">
        <w:rPr>
          <w:rFonts w:ascii="Calibri" w:eastAsia="Calibri" w:hAnsi="Calibri" w:cs="Calibri"/>
          <w:i/>
          <w:color w:val="000000"/>
        </w:rPr>
        <w:t>AVE</w:t>
      </w:r>
      <w:r w:rsidRPr="002433E2">
        <w:rPr>
          <w:rFonts w:ascii="Calibri" w:eastAsia="Calibri" w:hAnsi="Calibri" w:cs="Calibri"/>
          <w:color w:val="000000"/>
        </w:rPr>
        <w:t>, czyli ekwiwalent reklamowy, wyrażający ilość pieniędzy, jaką należałoby wydać na publikację lub emisję danego przekazu, gdyby był on reklamą. Czym innym jest jednak kupienie reklamy, a czym innym sytuacja, gdy materiał na temat firmy przygotuje dziennikarz w oparciu o współpracę z PR-owcem. Mierzenie działań public relations wyłącznie przez pryzmat tego wskaźnika jest niedoskonałe, dlatego wiele międzynarodowych organizacji branżowych</w:t>
      </w:r>
      <w:r w:rsidRPr="002433E2">
        <w:rPr>
          <w:rFonts w:ascii="Calibri" w:eastAsia="Calibri" w:hAnsi="Calibri" w:cs="Calibri"/>
          <w:color w:val="000000"/>
          <w:vertAlign w:val="superscript"/>
        </w:rPr>
        <w:footnoteReference w:id="2"/>
      </w:r>
      <w:r w:rsidRPr="002433E2">
        <w:rPr>
          <w:rFonts w:ascii="Calibri" w:eastAsia="Calibri" w:hAnsi="Calibri" w:cs="Calibri"/>
          <w:color w:val="000000"/>
        </w:rPr>
        <w:t xml:space="preserve"> od lat podejmuje działania, których celem jest znalezienie alternatywnych sposobów pomiaru efektów działań w branży PR.</w:t>
      </w:r>
    </w:p>
    <w:p w14:paraId="073DAFE8" w14:textId="58E5BD27" w:rsidR="002C7043" w:rsidRPr="002433E2" w:rsidRDefault="007A73D0" w:rsidP="002433E2">
      <w:pPr>
        <w:spacing w:line="276" w:lineRule="auto"/>
        <w:jc w:val="both"/>
        <w:rPr>
          <w:rFonts w:ascii="Calibri" w:eastAsia="Calibri" w:hAnsi="Calibri" w:cs="Calibri"/>
        </w:rPr>
      </w:pPr>
      <w:r w:rsidRPr="002433E2">
        <w:rPr>
          <w:rFonts w:ascii="Calibri" w:eastAsia="Calibri" w:hAnsi="Calibri" w:cs="Calibri"/>
        </w:rPr>
        <w:t>Kolejnym rodzajem pomiaru efektywności jest zasięg przekazu. Sposób jego obliczania oraz finalne podanie skumulowanych wartości budziło dotychczas pytania i wątpliwości wśród odbiorców wyników</w:t>
      </w:r>
      <w:r w:rsidR="00495D1E" w:rsidRPr="002433E2">
        <w:rPr>
          <w:rFonts w:ascii="Calibri" w:eastAsia="Calibri" w:hAnsi="Calibri" w:cs="Calibri"/>
        </w:rPr>
        <w:t xml:space="preserve">. </w:t>
      </w:r>
      <w:r w:rsidRPr="002433E2">
        <w:rPr>
          <w:rFonts w:ascii="Calibri" w:eastAsia="Calibri" w:hAnsi="Calibri" w:cs="Calibri"/>
          <w:color w:val="000000"/>
        </w:rPr>
        <w:t>Z tego względu Klub Dyrektorek i Dyrektorów PR (KDPR) we współpracy z Instytutem Monitorowania Mediów, Sotrender</w:t>
      </w:r>
      <w:sdt>
        <w:sdtPr>
          <w:rPr>
            <w:rFonts w:ascii="Calibri" w:hAnsi="Calibri" w:cs="Calibri"/>
          </w:rPr>
          <w:tag w:val="goog_rdk_2"/>
          <w:id w:val="-18239848"/>
        </w:sdtPr>
        <w:sdtContent>
          <w:r w:rsidRPr="002433E2">
            <w:rPr>
              <w:rFonts w:ascii="Calibri" w:eastAsia="Calibri" w:hAnsi="Calibri" w:cs="Calibri"/>
              <w:color w:val="000000"/>
            </w:rPr>
            <w:t>em</w:t>
          </w:r>
        </w:sdtContent>
      </w:sdt>
      <w:r w:rsidRPr="002433E2">
        <w:rPr>
          <w:rFonts w:ascii="Calibri" w:eastAsia="Calibri" w:hAnsi="Calibri" w:cs="Calibri"/>
          <w:color w:val="000000"/>
        </w:rPr>
        <w:t xml:space="preserve"> oraz Związkiem Firm PR opracowali nowy standard mierzenia zasięgu działań PR i stworzy</w:t>
      </w:r>
      <w:r w:rsidR="00714BAF" w:rsidRPr="002433E2">
        <w:rPr>
          <w:rFonts w:ascii="Calibri" w:eastAsia="Calibri" w:hAnsi="Calibri" w:cs="Calibri"/>
          <w:color w:val="000000"/>
        </w:rPr>
        <w:t xml:space="preserve">li </w:t>
      </w:r>
      <w:r w:rsidR="0056029E" w:rsidRPr="002433E2">
        <w:rPr>
          <w:rFonts w:ascii="Calibri" w:eastAsia="Calibri" w:hAnsi="Calibri" w:cs="Calibri"/>
          <w:color w:val="000000"/>
        </w:rPr>
        <w:t xml:space="preserve">specjalny </w:t>
      </w:r>
      <w:r w:rsidRPr="002433E2">
        <w:rPr>
          <w:rFonts w:ascii="Calibri" w:eastAsia="Calibri" w:hAnsi="Calibri" w:cs="Calibri"/>
          <w:color w:val="000000"/>
        </w:rPr>
        <w:t xml:space="preserve">kalkulator umożliwiający automatyczne wyliczenie wskaźnika </w:t>
      </w:r>
      <w:r w:rsidRPr="002433E2">
        <w:rPr>
          <w:rFonts w:ascii="Calibri" w:eastAsia="Calibri" w:hAnsi="Calibri" w:cs="Calibri"/>
          <w:color w:val="000000"/>
        </w:rPr>
        <w:lastRenderedPageBreak/>
        <w:t xml:space="preserve">bazującego na przeliczaniu łącznego zasięgu danej kampanii przez populację grupy docelowej. Otrzymany w ten sposób wynik pozwala na znacznie bardziej precyzyjną i wiarygodną ocenę efektywności kampanii. </w:t>
      </w:r>
    </w:p>
    <w:p w14:paraId="3234D7D5" w14:textId="7A2C3A6F" w:rsidR="0004086D" w:rsidRPr="002433E2" w:rsidRDefault="007A73D0" w:rsidP="002433E2">
      <w:pPr>
        <w:spacing w:line="276" w:lineRule="auto"/>
        <w:jc w:val="both"/>
        <w:rPr>
          <w:rFonts w:ascii="Calibri" w:eastAsia="Calibri" w:hAnsi="Calibri" w:cs="Calibri"/>
        </w:rPr>
      </w:pPr>
      <w:r w:rsidRPr="002433E2">
        <w:rPr>
          <w:rFonts w:ascii="Calibri" w:eastAsia="Calibri" w:hAnsi="Calibri" w:cs="Calibri"/>
        </w:rPr>
        <w:t xml:space="preserve">– </w:t>
      </w:r>
      <w:r w:rsidRPr="002433E2">
        <w:rPr>
          <w:rFonts w:ascii="Calibri" w:eastAsia="Calibri" w:hAnsi="Calibri" w:cs="Calibri"/>
          <w:i/>
        </w:rPr>
        <w:t>Brak jednolitego narzędzia do mierzenia efektywności działań PR od dawna stanowi wyzwanie dla branży PR. Dlatego postanowiliśmy stworzyć nowe narzędzie, które dostarczy precyzyjne dane dotyczące efektów kampanii. Współpraca Klubu Dyrektorek i Dyrektorów PR ze Związkiem Firm PR, Instytutem Monitorowania Mediów oraz Sotrenderem zapewniła profesjonalne podejście. Wierzymy, że narzędzie będzie pomocne zarówno dla początkujących, jak i doświadczonych ekspertów, umożliwiając rzetelną ocenę działań komunikacyjnych</w:t>
      </w:r>
      <w:r w:rsidRPr="002433E2">
        <w:rPr>
          <w:rFonts w:ascii="Calibri" w:eastAsia="Calibri" w:hAnsi="Calibri" w:cs="Calibri"/>
        </w:rPr>
        <w:t xml:space="preserve"> – podkreśla Natalia Długosz, członkini Klubu Dyrektorek i Dyrektorów PR, Marketing and Communications Manager Eastern Europe &amp; EMEA, Resideo</w:t>
      </w:r>
      <w:r w:rsidR="0002319C" w:rsidRPr="002433E2">
        <w:rPr>
          <w:rFonts w:ascii="Calibri" w:eastAsia="Calibri" w:hAnsi="Calibri" w:cs="Calibri"/>
        </w:rPr>
        <w:t>.</w:t>
      </w:r>
    </w:p>
    <w:p w14:paraId="3F92B457" w14:textId="77777777" w:rsidR="009A523A" w:rsidRPr="002433E2" w:rsidRDefault="00495D1E" w:rsidP="002433E2">
      <w:pPr>
        <w:spacing w:line="276" w:lineRule="auto"/>
        <w:jc w:val="both"/>
        <w:rPr>
          <w:rFonts w:ascii="Calibri" w:eastAsia="Calibri" w:hAnsi="Calibri" w:cs="Calibri"/>
        </w:rPr>
      </w:pPr>
      <w:r w:rsidRPr="002433E2">
        <w:rPr>
          <w:rFonts w:ascii="Calibri" w:eastAsia="Calibri" w:hAnsi="Calibri" w:cs="Calibri"/>
        </w:rPr>
        <w:t xml:space="preserve">Stworzony nowy standard mierzenia zasięgu </w:t>
      </w:r>
      <w:r w:rsidR="009C481E" w:rsidRPr="002433E2">
        <w:rPr>
          <w:rFonts w:ascii="Calibri" w:eastAsia="Calibri" w:hAnsi="Calibri" w:cs="Calibri"/>
        </w:rPr>
        <w:t>będzie także pomocny d</w:t>
      </w:r>
      <w:r w:rsidR="00CF1558" w:rsidRPr="002433E2">
        <w:rPr>
          <w:rFonts w:ascii="Calibri" w:eastAsia="Calibri" w:hAnsi="Calibri" w:cs="Calibri"/>
        </w:rPr>
        <w:t xml:space="preserve">la osób zgłaszających projekty do branżowych konkursów, </w:t>
      </w:r>
      <w:r w:rsidR="00AC2E76" w:rsidRPr="002433E2">
        <w:rPr>
          <w:rFonts w:ascii="Calibri" w:eastAsia="Calibri" w:hAnsi="Calibri" w:cs="Calibri"/>
          <w:color w:val="000000"/>
        </w:rPr>
        <w:t>w tym konkursu Złote Spinacze, którego organizatorem jest Związek Firm PR</w:t>
      </w:r>
      <w:r w:rsidR="00CF1558" w:rsidRPr="002433E2">
        <w:rPr>
          <w:rFonts w:ascii="Calibri" w:eastAsia="Calibri" w:hAnsi="Calibri" w:cs="Calibri"/>
        </w:rPr>
        <w:t>.</w:t>
      </w:r>
      <w:r w:rsidR="00A64548" w:rsidRPr="002433E2">
        <w:rPr>
          <w:rFonts w:ascii="Calibri" w:eastAsia="Calibri" w:hAnsi="Calibri" w:cs="Calibri"/>
        </w:rPr>
        <w:t xml:space="preserve"> </w:t>
      </w:r>
      <w:r w:rsidR="001A10C9" w:rsidRPr="002433E2">
        <w:rPr>
          <w:rFonts w:ascii="Calibri" w:eastAsia="Calibri" w:hAnsi="Calibri" w:cs="Calibri"/>
        </w:rPr>
        <w:t>Od tegorocznej edycji Złotych Spinaczy</w:t>
      </w:r>
      <w:r w:rsidR="004E00C4" w:rsidRPr="002433E2">
        <w:rPr>
          <w:rFonts w:ascii="Calibri" w:eastAsia="Calibri" w:hAnsi="Calibri" w:cs="Calibri"/>
        </w:rPr>
        <w:t>,</w:t>
      </w:r>
      <w:r w:rsidR="001A10C9" w:rsidRPr="002433E2">
        <w:rPr>
          <w:rFonts w:ascii="Calibri" w:eastAsia="Calibri" w:hAnsi="Calibri" w:cs="Calibri"/>
        </w:rPr>
        <w:t xml:space="preserve"> </w:t>
      </w:r>
      <w:r w:rsidR="007B3D24" w:rsidRPr="002433E2">
        <w:rPr>
          <w:rFonts w:ascii="Calibri" w:eastAsia="Calibri" w:hAnsi="Calibri" w:cs="Calibri"/>
        </w:rPr>
        <w:t xml:space="preserve">zgłaszający będą zachęcani do podawania w swoich zgłoszeniach wyników </w:t>
      </w:r>
      <w:r w:rsidR="00104416" w:rsidRPr="002433E2">
        <w:rPr>
          <w:rFonts w:ascii="Calibri" w:eastAsia="Calibri" w:hAnsi="Calibri" w:cs="Calibri"/>
        </w:rPr>
        <w:t xml:space="preserve">pochodzących z kalkulatora zasięgu. </w:t>
      </w:r>
    </w:p>
    <w:p w14:paraId="376CBCAE" w14:textId="45B80488" w:rsidR="0004086D" w:rsidRPr="002433E2" w:rsidRDefault="004E00C4" w:rsidP="002433E2">
      <w:pPr>
        <w:spacing w:line="276" w:lineRule="auto"/>
        <w:jc w:val="both"/>
        <w:rPr>
          <w:rFonts w:ascii="Calibri" w:eastAsia="Calibri" w:hAnsi="Calibri" w:cs="Calibri"/>
        </w:rPr>
      </w:pPr>
      <w:r w:rsidRPr="002433E2">
        <w:rPr>
          <w:rFonts w:ascii="Calibri" w:eastAsia="Calibri" w:hAnsi="Calibri" w:cs="Calibri"/>
        </w:rPr>
        <w:t xml:space="preserve">Jak </w:t>
      </w:r>
      <w:r w:rsidR="00797157" w:rsidRPr="002433E2">
        <w:rPr>
          <w:rFonts w:ascii="Calibri" w:eastAsia="Calibri" w:hAnsi="Calibri" w:cs="Calibri"/>
        </w:rPr>
        <w:t xml:space="preserve">zauważa Stefan Bogucki, członek KDPR, juror w konkursie Złote Spinacze, na co dzień odpowiedzialny za komunikację w Revolut: </w:t>
      </w:r>
      <w:r w:rsidR="00777FCF" w:rsidRPr="002433E2">
        <w:rPr>
          <w:rFonts w:ascii="Calibri" w:eastAsia="Calibri" w:hAnsi="Calibri" w:cs="Calibri"/>
        </w:rPr>
        <w:t xml:space="preserve">– </w:t>
      </w:r>
      <w:r w:rsidR="0004086D" w:rsidRPr="002433E2">
        <w:rPr>
          <w:rFonts w:ascii="Calibri" w:eastAsia="Calibri" w:hAnsi="Calibri" w:cs="Calibri"/>
          <w:i/>
          <w:iCs/>
        </w:rPr>
        <w:t>Kalkulator może przydać się w raportowaniu wyników kampanii PR zarówno w relacji agencja - klient, jak i menedżerom komunikacji raportującym wyniki wewnętrznie do zarządu. Co istotne, kalkulator to propozycja nowego standardu dla branży i dlatego może stać się częścią procesu zgłaszania najlepszych kampanii PR w wiodącym polskim konkursie branżowym Złote Spinacze. To ułatwienie zarówno dla marek zgłaszających swoje kampanie w konkursie, jak i dla jurorów, którzy porównują co roku kilkaset zgłaszanych kampanii, by wybrać te najlepsze. Zasięg kampanii liczony tym samym narzędziem dodatkowo wystandaryzuje proces</w:t>
      </w:r>
      <w:r w:rsidR="0004086D" w:rsidRPr="002433E2">
        <w:rPr>
          <w:rFonts w:ascii="Calibri" w:eastAsia="Calibri" w:hAnsi="Calibri" w:cs="Calibri"/>
        </w:rPr>
        <w:t>.</w:t>
      </w:r>
    </w:p>
    <w:p w14:paraId="073DAFEA" w14:textId="77777777" w:rsidR="002C7043" w:rsidRPr="002433E2" w:rsidRDefault="007A73D0" w:rsidP="002433E2">
      <w:pPr>
        <w:spacing w:line="276" w:lineRule="auto"/>
        <w:jc w:val="both"/>
        <w:rPr>
          <w:rFonts w:ascii="Calibri" w:eastAsia="Calibri" w:hAnsi="Calibri" w:cs="Calibri"/>
          <w:b/>
        </w:rPr>
      </w:pPr>
      <w:r w:rsidRPr="002433E2">
        <w:rPr>
          <w:rFonts w:ascii="Calibri" w:eastAsia="Calibri" w:hAnsi="Calibri" w:cs="Calibri"/>
          <w:b/>
        </w:rPr>
        <w:t>Kalkulator zasięgu</w:t>
      </w:r>
    </w:p>
    <w:p w14:paraId="073DAFEB" w14:textId="1B79DC41" w:rsidR="002C7043" w:rsidRPr="002433E2" w:rsidRDefault="007A73D0" w:rsidP="002433E2">
      <w:pPr>
        <w:spacing w:line="276" w:lineRule="auto"/>
        <w:jc w:val="both"/>
        <w:rPr>
          <w:rFonts w:ascii="Calibri" w:eastAsia="Calibri" w:hAnsi="Calibri" w:cs="Calibri"/>
        </w:rPr>
      </w:pPr>
      <w:r w:rsidRPr="002433E2">
        <w:rPr>
          <w:rFonts w:ascii="Calibri" w:eastAsia="Calibri" w:hAnsi="Calibri" w:cs="Calibri"/>
        </w:rPr>
        <w:t xml:space="preserve">Nowy standard polega na przeliczeniu zasięgu całej kampanii PR domyślnie na statystycznego Polaka powyżej 15 roku życia. W sytuacji, gdy odbiorcami kampanii są konkretne grupy społeczne, możemy uwzględnić charakterystykę grupy docelowej pod kątem wieku oraz płci. Dane wykorzystywane w kalkulatorze zasięgu bazują na analizach udostępnianych przez Główny Urząd Statystyczny. </w:t>
      </w:r>
      <w:r w:rsidR="00F64345" w:rsidRPr="002433E2">
        <w:rPr>
          <w:rFonts w:ascii="Calibri" w:eastAsia="Calibri" w:hAnsi="Calibri" w:cs="Calibri"/>
          <w:iCs/>
          <w:color w:val="000000"/>
        </w:rPr>
        <w:t xml:space="preserve">Opracowany kalkulator zasięgu przeznaczony jest dla danych z prasy, radia, telewizji </w:t>
      </w:r>
      <w:r w:rsidR="001B00DB">
        <w:rPr>
          <w:rFonts w:ascii="Calibri" w:eastAsia="Calibri" w:hAnsi="Calibri" w:cs="Calibri"/>
          <w:iCs/>
          <w:color w:val="000000"/>
        </w:rPr>
        <w:t>oraz</w:t>
      </w:r>
      <w:r w:rsidR="00F64345" w:rsidRPr="002433E2">
        <w:rPr>
          <w:rFonts w:ascii="Calibri" w:eastAsia="Calibri" w:hAnsi="Calibri" w:cs="Calibri"/>
          <w:iCs/>
          <w:color w:val="000000"/>
        </w:rPr>
        <w:t xml:space="preserve"> portali internetowych</w:t>
      </w:r>
      <w:r w:rsidR="00F64345">
        <w:rPr>
          <w:rFonts w:ascii="Calibri" w:eastAsia="Calibri" w:hAnsi="Calibri" w:cs="Calibri"/>
          <w:iCs/>
          <w:color w:val="000000"/>
        </w:rPr>
        <w:t>.</w:t>
      </w:r>
      <w:r w:rsidR="001B00DB">
        <w:rPr>
          <w:rFonts w:ascii="Calibri" w:eastAsia="Calibri" w:hAnsi="Calibri" w:cs="Calibri"/>
          <w:iCs/>
          <w:color w:val="000000"/>
        </w:rPr>
        <w:t xml:space="preserve"> Nie </w:t>
      </w:r>
      <w:r w:rsidR="008D74E8">
        <w:rPr>
          <w:rFonts w:ascii="Calibri" w:eastAsia="Calibri" w:hAnsi="Calibri" w:cs="Calibri"/>
          <w:iCs/>
          <w:color w:val="000000"/>
        </w:rPr>
        <w:t>jest</w:t>
      </w:r>
      <w:r w:rsidR="001B00DB">
        <w:rPr>
          <w:rFonts w:ascii="Calibri" w:eastAsia="Calibri" w:hAnsi="Calibri" w:cs="Calibri"/>
          <w:iCs/>
          <w:color w:val="000000"/>
        </w:rPr>
        <w:t xml:space="preserve"> on </w:t>
      </w:r>
      <w:r w:rsidR="008D74E8">
        <w:rPr>
          <w:rFonts w:ascii="Calibri" w:eastAsia="Calibri" w:hAnsi="Calibri" w:cs="Calibri"/>
          <w:iCs/>
          <w:color w:val="000000"/>
        </w:rPr>
        <w:t>dedykowany</w:t>
      </w:r>
      <w:r w:rsidR="001B00DB">
        <w:rPr>
          <w:rFonts w:ascii="Calibri" w:eastAsia="Calibri" w:hAnsi="Calibri" w:cs="Calibri"/>
          <w:iCs/>
          <w:color w:val="000000"/>
        </w:rPr>
        <w:t xml:space="preserve"> do zasięgów pochodzących z mediów społecznościowych.</w:t>
      </w:r>
    </w:p>
    <w:p w14:paraId="073DAFEC" w14:textId="19FE7024" w:rsidR="002C7043" w:rsidRPr="002433E2" w:rsidRDefault="007A73D0" w:rsidP="002433E2">
      <w:pPr>
        <w:spacing w:line="276" w:lineRule="auto"/>
        <w:jc w:val="both"/>
        <w:rPr>
          <w:rFonts w:ascii="Calibri" w:eastAsia="Calibri" w:hAnsi="Calibri" w:cs="Calibri"/>
        </w:rPr>
      </w:pPr>
      <w:r w:rsidRPr="002433E2">
        <w:rPr>
          <w:rFonts w:ascii="Calibri" w:eastAsia="Calibri" w:hAnsi="Calibri" w:cs="Calibri"/>
        </w:rPr>
        <w:t>Kluczowa podczas korzystania z kalkulatora jest definicja zasięgu. Wspólnie z naszymi partnerami ustaliliśmy, że wskaźnik ten informuje o liczbie potencjalnych kontaktów z przekazem mediowym. Ważne, by nie interpretować wyniku jako liczby osób lub unikalnych użytkowników, które spotkały się z przekazem, a właśnie to uproszczenie w interpretacji zdarza się najczęściej.</w:t>
      </w:r>
      <w:r w:rsidR="004542B7">
        <w:rPr>
          <w:rFonts w:ascii="Calibri" w:eastAsia="Calibri" w:hAnsi="Calibri" w:cs="Calibri"/>
        </w:rPr>
        <w:t xml:space="preserve"> </w:t>
      </w:r>
    </w:p>
    <w:p w14:paraId="7DC8B907" w14:textId="76EDEF6C" w:rsidR="001D44A7" w:rsidRPr="002433E2" w:rsidRDefault="001D44A7" w:rsidP="001D44A7">
      <w:pPr>
        <w:spacing w:line="276" w:lineRule="auto"/>
        <w:jc w:val="both"/>
        <w:rPr>
          <w:rFonts w:ascii="Calibri" w:eastAsia="Calibri" w:hAnsi="Calibri" w:cs="Calibri"/>
        </w:rPr>
      </w:pPr>
      <w:r w:rsidRPr="002433E2">
        <w:rPr>
          <w:rFonts w:ascii="Calibri" w:eastAsia="Calibri" w:hAnsi="Calibri" w:cs="Calibri"/>
          <w:i/>
        </w:rPr>
        <w:t xml:space="preserve">– Jak wiemy, przy długoterminowych projektach uzyskany zasięg potrafi przewyższać nawet kilkadziesiąt razy liczbę ludności w Polsce, co dla wielu odbiorców jest trudne w interpretacji. Dlatego też projekt standaryzacji mierzenia efektywności działań </w:t>
      </w:r>
      <w:r w:rsidR="0025425A">
        <w:rPr>
          <w:rFonts w:ascii="Calibri" w:eastAsia="Calibri" w:hAnsi="Calibri" w:cs="Calibri"/>
          <w:i/>
        </w:rPr>
        <w:t>komunikacyjnych</w:t>
      </w:r>
      <w:r w:rsidRPr="002433E2">
        <w:rPr>
          <w:rFonts w:ascii="Calibri" w:eastAsia="Calibri" w:hAnsi="Calibri" w:cs="Calibri"/>
          <w:i/>
        </w:rPr>
        <w:t>, czyli kalkulator Zmierz PR, zakłada przeliczanie skumulowanej wartości zasięgu na</w:t>
      </w:r>
      <w:r w:rsidR="00990464">
        <w:rPr>
          <w:rFonts w:ascii="Calibri" w:eastAsia="Calibri" w:hAnsi="Calibri" w:cs="Calibri"/>
          <w:i/>
        </w:rPr>
        <w:t xml:space="preserve"> </w:t>
      </w:r>
      <w:r w:rsidR="00990464" w:rsidRPr="00990464">
        <w:rPr>
          <w:rFonts w:ascii="Calibri" w:eastAsia="Calibri" w:hAnsi="Calibri" w:cs="Calibri"/>
          <w:i/>
        </w:rPr>
        <w:t>liczebność grupy docelowej</w:t>
      </w:r>
      <w:r w:rsidRPr="002433E2">
        <w:rPr>
          <w:rFonts w:ascii="Calibri" w:eastAsia="Calibri" w:hAnsi="Calibri" w:cs="Calibri"/>
          <w:i/>
        </w:rPr>
        <w:t xml:space="preserve">. Dzięki temu rozwiązaniu możemy w bardziej obrazowy sposób przedstawić efekty naszych działań PR – </w:t>
      </w:r>
      <w:r w:rsidRPr="002433E2">
        <w:rPr>
          <w:rFonts w:ascii="Calibri" w:eastAsia="Calibri" w:hAnsi="Calibri" w:cs="Calibri"/>
        </w:rPr>
        <w:t>wyjaśnia Monika Ezman,</w:t>
      </w:r>
      <w:r w:rsidRPr="002433E2">
        <w:rPr>
          <w:rFonts w:ascii="Calibri" w:hAnsi="Calibri" w:cs="Calibri"/>
        </w:rPr>
        <w:t xml:space="preserve"> </w:t>
      </w:r>
      <w:r w:rsidRPr="002433E2">
        <w:rPr>
          <w:rFonts w:ascii="Calibri" w:eastAsia="Calibri" w:hAnsi="Calibri" w:cs="Calibri"/>
        </w:rPr>
        <w:t xml:space="preserve">Dyrektorka Centrum Zarządzania Jakością i Działu Analiz, Członkini Zarządu Instytutu Monitorowania Mediów. </w:t>
      </w:r>
    </w:p>
    <w:p w14:paraId="073DAFED" w14:textId="6B7A23E7" w:rsidR="002C7043" w:rsidRPr="002433E2" w:rsidRDefault="007A73D0" w:rsidP="002433E2">
      <w:pPr>
        <w:spacing w:line="276" w:lineRule="auto"/>
        <w:jc w:val="both"/>
        <w:rPr>
          <w:rFonts w:ascii="Calibri" w:eastAsia="Calibri" w:hAnsi="Calibri" w:cs="Calibri"/>
          <w:color w:val="000000"/>
        </w:rPr>
      </w:pPr>
      <w:r w:rsidRPr="002433E2">
        <w:rPr>
          <w:rFonts w:ascii="Calibri" w:eastAsia="Calibri" w:hAnsi="Calibri" w:cs="Calibri"/>
        </w:rPr>
        <w:lastRenderedPageBreak/>
        <w:t xml:space="preserve">Warto zauważyć, że kalkulator daje możliwość </w:t>
      </w:r>
      <w:r w:rsidRPr="002433E2">
        <w:rPr>
          <w:rFonts w:ascii="Calibri" w:eastAsia="Calibri" w:hAnsi="Calibri" w:cs="Calibri"/>
          <w:color w:val="000000"/>
        </w:rPr>
        <w:t xml:space="preserve">raportowania </w:t>
      </w:r>
      <w:sdt>
        <w:sdtPr>
          <w:rPr>
            <w:rFonts w:ascii="Calibri" w:hAnsi="Calibri" w:cs="Calibri"/>
          </w:rPr>
          <w:tag w:val="goog_rdk_4"/>
          <w:id w:val="1973402565"/>
        </w:sdtPr>
        <w:sdtContent/>
      </w:sdt>
      <w:r w:rsidRPr="002433E2">
        <w:rPr>
          <w:rFonts w:ascii="Calibri" w:eastAsia="Calibri" w:hAnsi="Calibri" w:cs="Calibri"/>
          <w:color w:val="000000"/>
        </w:rPr>
        <w:t xml:space="preserve">zasięgu np. </w:t>
      </w:r>
      <w:r w:rsidR="0046536B">
        <w:rPr>
          <w:rFonts w:ascii="Calibri" w:eastAsia="Calibri" w:hAnsi="Calibri" w:cs="Calibri"/>
          <w:color w:val="000000"/>
        </w:rPr>
        <w:t>kampanii PR</w:t>
      </w:r>
      <w:r w:rsidR="0046536B">
        <w:rPr>
          <w:rFonts w:ascii="Calibri" w:hAnsi="Calibri" w:cs="Calibri"/>
        </w:rPr>
        <w:t xml:space="preserve"> </w:t>
      </w:r>
      <w:r w:rsidRPr="002433E2">
        <w:rPr>
          <w:rFonts w:ascii="Calibri" w:eastAsia="Calibri" w:hAnsi="Calibri" w:cs="Calibri"/>
          <w:color w:val="000000"/>
        </w:rPr>
        <w:t xml:space="preserve">w przeliczeniu na grupę docelową. Podstawą jest struktura wieku i/lub płeć. Otrzymujemy wówczas informację, że statystyczny obywatel i/lub obywatelka Polski w danym przedziale wiekowym mógł/mogła mieć kontakt z informacją nt. kampanii co najmniej X razy. </w:t>
      </w:r>
      <w:r w:rsidRPr="002433E2">
        <w:rPr>
          <w:rFonts w:ascii="Calibri" w:eastAsia="Calibri" w:hAnsi="Calibri" w:cs="Calibri"/>
        </w:rPr>
        <w:t xml:space="preserve">Co ważne, przelicznik powinniśmy stosować dla zbiorczych wyników kampanii i projektów długoterminowych. </w:t>
      </w:r>
    </w:p>
    <w:p w14:paraId="6B44B7B4" w14:textId="56D1CF5A" w:rsidR="00AF55B0" w:rsidRPr="00AF55B0" w:rsidRDefault="00AF55B0" w:rsidP="002433E2">
      <w:pPr>
        <w:spacing w:line="276" w:lineRule="auto"/>
        <w:jc w:val="both"/>
        <w:rPr>
          <w:rFonts w:ascii="Calibri" w:eastAsia="Calibri" w:hAnsi="Calibri" w:cs="Calibri"/>
        </w:rPr>
      </w:pPr>
      <w:r w:rsidRPr="00AF55B0">
        <w:rPr>
          <w:rFonts w:ascii="Calibri" w:eastAsia="Calibri" w:hAnsi="Calibri" w:cs="Calibri"/>
        </w:rPr>
        <w:t>Specyfika social media, gdzie odbiorcy mogą</w:t>
      </w:r>
      <w:r w:rsidR="007A19FA">
        <w:rPr>
          <w:rFonts w:ascii="Calibri" w:eastAsia="Calibri" w:hAnsi="Calibri" w:cs="Calibri"/>
        </w:rPr>
        <w:t xml:space="preserve">, a nawet powinni </w:t>
      </w:r>
      <w:r w:rsidRPr="00AF55B0">
        <w:rPr>
          <w:rFonts w:ascii="Calibri" w:eastAsia="Calibri" w:hAnsi="Calibri" w:cs="Calibri"/>
        </w:rPr>
        <w:t>reagować na komunikaty</w:t>
      </w:r>
      <w:r w:rsidR="007A19FA">
        <w:rPr>
          <w:rFonts w:ascii="Calibri" w:eastAsia="Calibri" w:hAnsi="Calibri" w:cs="Calibri"/>
        </w:rPr>
        <w:t xml:space="preserve">, które są do nich kierowane </w:t>
      </w:r>
      <w:r w:rsidRPr="00AF55B0">
        <w:rPr>
          <w:rFonts w:ascii="Calibri" w:eastAsia="Calibri" w:hAnsi="Calibri" w:cs="Calibri"/>
        </w:rPr>
        <w:t>sprawia, że w tym przypadku w zależności od celu kampanii warto zastosować nieco inny model pomiaru</w:t>
      </w:r>
      <w:r w:rsidR="00EA2CCC">
        <w:rPr>
          <w:rFonts w:ascii="Calibri" w:eastAsia="Calibri" w:hAnsi="Calibri" w:cs="Calibri"/>
        </w:rPr>
        <w:t>.</w:t>
      </w:r>
    </w:p>
    <w:p w14:paraId="073DAFF7" w14:textId="75DBF275" w:rsidR="002C7043" w:rsidRPr="002433E2" w:rsidRDefault="005A5822" w:rsidP="002433E2">
      <w:pPr>
        <w:spacing w:line="276" w:lineRule="auto"/>
        <w:jc w:val="both"/>
        <w:rPr>
          <w:rFonts w:ascii="Calibri" w:eastAsia="Calibri" w:hAnsi="Calibri" w:cs="Calibri"/>
        </w:rPr>
      </w:pPr>
      <w:r w:rsidRPr="002433E2">
        <w:rPr>
          <w:rFonts w:ascii="Calibri" w:eastAsia="Calibri" w:hAnsi="Calibri" w:cs="Calibri"/>
          <w:i/>
        </w:rPr>
        <w:t xml:space="preserve">– </w:t>
      </w:r>
      <w:r w:rsidRPr="002433E2">
        <w:rPr>
          <w:rFonts w:ascii="Calibri" w:eastAsia="Calibri" w:hAnsi="Calibri" w:cs="Calibri"/>
          <w:i/>
          <w:iCs/>
        </w:rPr>
        <w:t>W przypadku mediów społecznościowych sytuacja wygląda nieco inaczej. Zgodnie z powszechnie przyjętą konwencją zasięg to liczba unikalnych użytkowników, którzy przynajmniej raz zetknęli się z przekazem.</w:t>
      </w:r>
      <w:r w:rsidR="009C17D0">
        <w:rPr>
          <w:rFonts w:ascii="Calibri" w:eastAsia="Calibri" w:hAnsi="Calibri" w:cs="Calibri"/>
          <w:i/>
          <w:iCs/>
        </w:rPr>
        <w:t xml:space="preserve"> </w:t>
      </w:r>
      <w:r w:rsidRPr="002433E2">
        <w:rPr>
          <w:rFonts w:ascii="Calibri" w:eastAsia="Calibri" w:hAnsi="Calibri" w:cs="Calibri"/>
          <w:i/>
          <w:iCs/>
        </w:rPr>
        <w:t xml:space="preserve">Podobnym wskaźnikiem jest liczba wyświetleń, które można dodawać pomiędzy platformami. Ze względu na specyfikę social media warto też zależnie od celu kampanii rozważyć także raportowania zaangażowania lub akcji </w:t>
      </w:r>
      <w:r w:rsidRPr="002433E2">
        <w:rPr>
          <w:rFonts w:ascii="Calibri" w:eastAsia="Calibri" w:hAnsi="Calibri" w:cs="Calibri"/>
          <w:i/>
        </w:rPr>
        <w:t>–</w:t>
      </w:r>
      <w:r w:rsidRPr="002433E2">
        <w:rPr>
          <w:rFonts w:ascii="Calibri" w:eastAsia="Calibri" w:hAnsi="Calibri" w:cs="Calibri"/>
          <w:i/>
          <w:iCs/>
        </w:rPr>
        <w:t xml:space="preserve"> </w:t>
      </w:r>
      <w:r w:rsidRPr="002433E2">
        <w:rPr>
          <w:rFonts w:ascii="Calibri" w:eastAsia="Calibri" w:hAnsi="Calibri" w:cs="Calibri"/>
        </w:rPr>
        <w:t>dodaje dr Jan Zając, założyciel i prezes zarządu Sotrendera.</w:t>
      </w:r>
    </w:p>
    <w:p w14:paraId="63EF1D78" w14:textId="09AA641B" w:rsidR="005F1D40" w:rsidRDefault="007A73D0" w:rsidP="002433E2">
      <w:pPr>
        <w:spacing w:line="276" w:lineRule="auto"/>
        <w:jc w:val="both"/>
        <w:rPr>
          <w:rFonts w:ascii="Calibri" w:eastAsia="Calibri" w:hAnsi="Calibri" w:cs="Calibri"/>
        </w:rPr>
      </w:pPr>
      <w:r w:rsidRPr="002433E2">
        <w:rPr>
          <w:rFonts w:ascii="Calibri" w:eastAsia="Calibri" w:hAnsi="Calibri" w:cs="Calibri"/>
        </w:rPr>
        <w:t>Metryki i analizy, jeśli są właściwie wykorzystywane, mają kluczowe znaczenie dla świadomego podejmowania decyzji, a także skutecznej optymalizacji strategii. Dlatego należy wybierać te wskaźniki, które pozwolą na weryfikację i ocenę realizacji założonych celów oraz zadań biznesowych.</w:t>
      </w:r>
    </w:p>
    <w:p w14:paraId="6D391944" w14:textId="77777777" w:rsidR="00D72E3B" w:rsidRDefault="00D72E3B" w:rsidP="002433E2">
      <w:pPr>
        <w:spacing w:line="276" w:lineRule="auto"/>
        <w:jc w:val="both"/>
        <w:rPr>
          <w:rFonts w:ascii="Calibri" w:eastAsia="Calibri" w:hAnsi="Calibri" w:cs="Calibri"/>
        </w:rPr>
      </w:pPr>
    </w:p>
    <w:p w14:paraId="073DAFFB" w14:textId="7A447990" w:rsidR="002C7043" w:rsidRDefault="00D72E3B" w:rsidP="00D72E3B">
      <w:pPr>
        <w:spacing w:line="276" w:lineRule="auto"/>
        <w:jc w:val="both"/>
        <w:rPr>
          <w:rFonts w:ascii="Calibri" w:eastAsia="Calibri" w:hAnsi="Calibri" w:cs="Calibri"/>
        </w:rPr>
      </w:pPr>
      <w:r w:rsidRPr="00D72E3B">
        <w:rPr>
          <w:rFonts w:ascii="Calibri" w:eastAsia="Calibri" w:hAnsi="Calibri" w:cs="Calibri"/>
        </w:rPr>
        <w:t xml:space="preserve">Zachęcamy do </w:t>
      </w:r>
      <w:r>
        <w:rPr>
          <w:rFonts w:ascii="Calibri" w:eastAsia="Calibri" w:hAnsi="Calibri" w:cs="Calibri"/>
        </w:rPr>
        <w:t xml:space="preserve">odwiedzenia strony </w:t>
      </w:r>
      <w:hyperlink r:id="rId11" w:history="1">
        <w:r w:rsidR="005F1D40" w:rsidRPr="00F45B78">
          <w:rPr>
            <w:rStyle w:val="Hipercze"/>
            <w:rFonts w:ascii="Calibri" w:eastAsia="Calibri" w:hAnsi="Calibri" w:cs="Calibri"/>
          </w:rPr>
          <w:t>www.zmierzpr.pl</w:t>
        </w:r>
      </w:hyperlink>
      <w:r>
        <w:rPr>
          <w:rFonts w:ascii="Calibri" w:eastAsia="Calibri" w:hAnsi="Calibri" w:cs="Calibri"/>
        </w:rPr>
        <w:t xml:space="preserve"> i korzystania ze stworzonego kalkulatora.</w:t>
      </w:r>
    </w:p>
    <w:p w14:paraId="4FA9F7AA" w14:textId="77777777" w:rsidR="005F1D40" w:rsidRDefault="005F1D40">
      <w:pPr>
        <w:jc w:val="both"/>
        <w:rPr>
          <w:rFonts w:ascii="Calibri" w:eastAsia="Calibri" w:hAnsi="Calibri" w:cs="Calibri"/>
        </w:rPr>
      </w:pPr>
    </w:p>
    <w:p w14:paraId="073DAFFC" w14:textId="77777777" w:rsidR="002C7043" w:rsidRDefault="007A73D0">
      <w:pPr>
        <w:spacing w:before="240" w:line="360" w:lineRule="auto"/>
        <w:jc w:val="center"/>
        <w:rPr>
          <w:rFonts w:ascii="Calibri" w:eastAsia="Calibri" w:hAnsi="Calibri" w:cs="Calibri"/>
          <w:color w:val="7F7F7F"/>
          <w:sz w:val="18"/>
          <w:szCs w:val="18"/>
        </w:rPr>
      </w:pPr>
      <w:r>
        <w:rPr>
          <w:rFonts w:ascii="Calibri" w:eastAsia="Calibri" w:hAnsi="Calibri" w:cs="Calibri"/>
          <w:color w:val="7F7F7F"/>
          <w:sz w:val="18"/>
          <w:szCs w:val="18"/>
        </w:rPr>
        <w:t>***</w:t>
      </w:r>
    </w:p>
    <w:p w14:paraId="073DAFFD" w14:textId="77777777" w:rsidR="002C7043" w:rsidRPr="002433E2" w:rsidRDefault="007A73D0">
      <w:pPr>
        <w:jc w:val="both"/>
        <w:rPr>
          <w:rFonts w:ascii="Calibri" w:eastAsia="Calibri" w:hAnsi="Calibri" w:cs="Calibri"/>
          <w:sz w:val="18"/>
          <w:szCs w:val="18"/>
        </w:rPr>
      </w:pPr>
      <w:r w:rsidRPr="002433E2">
        <w:rPr>
          <w:rFonts w:ascii="Calibri" w:eastAsia="Calibri" w:hAnsi="Calibri" w:cs="Calibri"/>
          <w:b/>
          <w:sz w:val="18"/>
          <w:szCs w:val="18"/>
        </w:rPr>
        <w:t>Klub Dyrektorek i Dyrektorów PR (KDPR)</w:t>
      </w:r>
      <w:r w:rsidRPr="002433E2">
        <w:rPr>
          <w:rFonts w:ascii="Calibri" w:eastAsia="Calibri" w:hAnsi="Calibri" w:cs="Calibri"/>
          <w:sz w:val="18"/>
          <w:szCs w:val="18"/>
        </w:rPr>
        <w:t xml:space="preserve"> to inicjatywa branżowa, która powstała w czerwcu 2021 roku we współpracy ze Związkiem Firm Public Relations. Grono członków Klubu tworzy obecnie grupa szesnastu doświadczonych liderów ds. relacji korporacyjnych wiodących podmiotów gospodarczych prowadzących działalność w Polsce.</w:t>
      </w:r>
    </w:p>
    <w:p w14:paraId="073DAFFE" w14:textId="77777777" w:rsidR="002C7043" w:rsidRPr="002433E2" w:rsidRDefault="007A73D0">
      <w:pPr>
        <w:spacing w:after="0"/>
        <w:jc w:val="both"/>
        <w:rPr>
          <w:rFonts w:ascii="Calibri" w:eastAsia="Calibri" w:hAnsi="Calibri" w:cs="Calibri"/>
          <w:sz w:val="18"/>
          <w:szCs w:val="18"/>
        </w:rPr>
      </w:pPr>
      <w:r w:rsidRPr="002433E2">
        <w:rPr>
          <w:rFonts w:ascii="Calibri" w:eastAsia="Calibri" w:hAnsi="Calibri" w:cs="Calibri"/>
          <w:sz w:val="18"/>
          <w:szCs w:val="18"/>
        </w:rPr>
        <w:t>Klub ma formułę otwartą, a jego członkami mogą zostać osoby, które:</w:t>
      </w:r>
    </w:p>
    <w:p w14:paraId="073DAFFF" w14:textId="77777777" w:rsidR="002C7043" w:rsidRPr="002433E2" w:rsidRDefault="007A73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2433E2">
        <w:rPr>
          <w:rFonts w:ascii="Calibri" w:eastAsia="Calibri" w:hAnsi="Calibri" w:cs="Calibri"/>
          <w:color w:val="000000"/>
          <w:sz w:val="18"/>
          <w:szCs w:val="18"/>
        </w:rPr>
        <w:t>mają co najmniej 15 lat doświadczenia pracy w komunikacji, w tym przynajmniej 10 lat public relations;</w:t>
      </w:r>
    </w:p>
    <w:p w14:paraId="073DB000" w14:textId="77777777" w:rsidR="002C7043" w:rsidRPr="002433E2" w:rsidRDefault="007A73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2433E2">
        <w:rPr>
          <w:rFonts w:ascii="Calibri" w:eastAsia="Calibri" w:hAnsi="Calibri" w:cs="Calibri"/>
          <w:color w:val="000000"/>
          <w:sz w:val="18"/>
          <w:szCs w:val="18"/>
        </w:rPr>
        <w:t>aktualnie sprawują funkcję Head of PR w korporacji, instytucji bądź organizacji pozarządowej,</w:t>
      </w:r>
    </w:p>
    <w:p w14:paraId="073DB001" w14:textId="77777777" w:rsidR="002C7043" w:rsidRPr="002433E2" w:rsidRDefault="007A73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2433E2">
        <w:rPr>
          <w:rFonts w:ascii="Calibri" w:eastAsia="Calibri" w:hAnsi="Calibri" w:cs="Calibri"/>
          <w:color w:val="000000"/>
          <w:sz w:val="18"/>
          <w:szCs w:val="18"/>
        </w:rPr>
        <w:t>mają udokumentowane osiągnięcia zawodowe oraz zobowiążą się do aktywnego udziału w pracach Klubu.</w:t>
      </w:r>
    </w:p>
    <w:p w14:paraId="073DB002" w14:textId="77777777" w:rsidR="002C7043" w:rsidRPr="002433E2" w:rsidRDefault="007A73D0">
      <w:pPr>
        <w:rPr>
          <w:rFonts w:ascii="Calibri" w:eastAsia="Calibri" w:hAnsi="Calibri" w:cs="Calibri"/>
          <w:b/>
          <w:sz w:val="18"/>
          <w:szCs w:val="18"/>
          <w:u w:val="single"/>
        </w:rPr>
      </w:pPr>
      <w:r w:rsidRPr="002433E2">
        <w:rPr>
          <w:rFonts w:ascii="Calibri" w:eastAsia="Calibri" w:hAnsi="Calibri" w:cs="Calibri"/>
          <w:sz w:val="18"/>
          <w:szCs w:val="18"/>
        </w:rPr>
        <w:t xml:space="preserve">Więcej informacji o Klubie Dyrektorek i Dyrektorów PR oraz zasadach członkostwa dostępne na stronie: </w:t>
      </w:r>
      <w:hyperlink r:id="rId12">
        <w:r w:rsidRPr="002433E2">
          <w:rPr>
            <w:rFonts w:ascii="Calibri" w:eastAsia="Calibri" w:hAnsi="Calibri" w:cs="Calibri"/>
            <w:b/>
            <w:color w:val="000000"/>
            <w:sz w:val="18"/>
            <w:szCs w:val="18"/>
            <w:u w:val="single"/>
          </w:rPr>
          <w:t>https://zfpr.pl/kdpr/</w:t>
        </w:r>
      </w:hyperlink>
      <w:r w:rsidRPr="002433E2">
        <w:rPr>
          <w:rFonts w:ascii="Calibri" w:eastAsia="Calibri" w:hAnsi="Calibri" w:cs="Calibri"/>
          <w:b/>
          <w:sz w:val="18"/>
          <w:szCs w:val="18"/>
          <w:u w:val="single"/>
        </w:rPr>
        <w:t>.</w:t>
      </w:r>
    </w:p>
    <w:p w14:paraId="073DB003" w14:textId="77777777" w:rsidR="002C7043" w:rsidRDefault="007A73D0">
      <w:pPr>
        <w:spacing w:before="240" w:line="360" w:lineRule="auto"/>
        <w:jc w:val="center"/>
        <w:rPr>
          <w:color w:val="7F7F7F"/>
          <w:sz w:val="18"/>
          <w:szCs w:val="18"/>
        </w:rPr>
      </w:pPr>
      <w:r>
        <w:rPr>
          <w:color w:val="7F7F7F"/>
          <w:sz w:val="18"/>
          <w:szCs w:val="18"/>
        </w:rPr>
        <w:t>***</w:t>
      </w:r>
    </w:p>
    <w:p w14:paraId="073DB004" w14:textId="77777777" w:rsidR="002C7043" w:rsidRDefault="002C7043">
      <w:pPr>
        <w:jc w:val="both"/>
      </w:pPr>
    </w:p>
    <w:p w14:paraId="073DB005" w14:textId="77777777" w:rsidR="002C7043" w:rsidRPr="00C3184F" w:rsidRDefault="007A73D0">
      <w:pPr>
        <w:spacing w:after="0"/>
        <w:jc w:val="both"/>
        <w:rPr>
          <w:rFonts w:ascii="Calibri" w:hAnsi="Calibri" w:cs="Calibri"/>
          <w:b/>
          <w:color w:val="7F7F7F"/>
          <w:sz w:val="18"/>
          <w:szCs w:val="18"/>
        </w:rPr>
      </w:pPr>
      <w:r w:rsidRPr="00C3184F">
        <w:rPr>
          <w:rFonts w:ascii="Calibri" w:hAnsi="Calibri" w:cs="Calibri"/>
          <w:b/>
          <w:color w:val="7F7F7F"/>
          <w:sz w:val="18"/>
          <w:szCs w:val="18"/>
        </w:rPr>
        <w:t>Osoba kontaktowa:</w:t>
      </w:r>
    </w:p>
    <w:p w14:paraId="073DB006" w14:textId="77777777" w:rsidR="002C7043" w:rsidRPr="00C3184F" w:rsidRDefault="007A73D0">
      <w:pPr>
        <w:spacing w:after="0"/>
        <w:jc w:val="both"/>
        <w:rPr>
          <w:rFonts w:ascii="Calibri" w:hAnsi="Calibri" w:cs="Calibri"/>
          <w:color w:val="7F7F7F"/>
          <w:sz w:val="18"/>
          <w:szCs w:val="18"/>
        </w:rPr>
      </w:pPr>
      <w:r w:rsidRPr="00C3184F">
        <w:rPr>
          <w:rFonts w:ascii="Calibri" w:hAnsi="Calibri" w:cs="Calibri"/>
          <w:color w:val="7F7F7F"/>
          <w:sz w:val="18"/>
          <w:szCs w:val="18"/>
        </w:rPr>
        <w:t>Joanna Dokudowicz</w:t>
      </w:r>
    </w:p>
    <w:p w14:paraId="073DB007" w14:textId="77777777" w:rsidR="002C7043" w:rsidRPr="00C3184F" w:rsidRDefault="007A73D0">
      <w:pPr>
        <w:spacing w:after="0"/>
        <w:jc w:val="both"/>
        <w:rPr>
          <w:rFonts w:ascii="Calibri" w:hAnsi="Calibri" w:cs="Calibri"/>
          <w:color w:val="7F7F7F"/>
          <w:sz w:val="18"/>
          <w:szCs w:val="18"/>
        </w:rPr>
      </w:pPr>
      <w:r w:rsidRPr="00C3184F">
        <w:rPr>
          <w:rFonts w:ascii="Calibri" w:hAnsi="Calibri" w:cs="Calibri"/>
          <w:color w:val="7F7F7F"/>
          <w:sz w:val="18"/>
          <w:szCs w:val="18"/>
        </w:rPr>
        <w:t>Menadżer ds. projektów</w:t>
      </w:r>
    </w:p>
    <w:p w14:paraId="073DB008" w14:textId="77777777" w:rsidR="002C7043" w:rsidRPr="00C3184F" w:rsidRDefault="00000000">
      <w:pPr>
        <w:spacing w:after="0"/>
        <w:jc w:val="both"/>
        <w:rPr>
          <w:rFonts w:ascii="Calibri" w:hAnsi="Calibri" w:cs="Calibri"/>
          <w:color w:val="808080"/>
          <w:sz w:val="18"/>
          <w:szCs w:val="18"/>
        </w:rPr>
      </w:pPr>
      <w:hyperlink r:id="rId13">
        <w:r w:rsidR="007A73D0" w:rsidRPr="00C3184F">
          <w:rPr>
            <w:rFonts w:ascii="Calibri" w:hAnsi="Calibri" w:cs="Calibri"/>
            <w:color w:val="467886"/>
            <w:sz w:val="18"/>
            <w:szCs w:val="18"/>
            <w:u w:val="single"/>
          </w:rPr>
          <w:t>joanna.dokudowicz@zfpr.pl</w:t>
        </w:r>
      </w:hyperlink>
    </w:p>
    <w:p w14:paraId="073DB009" w14:textId="77777777" w:rsidR="002C7043" w:rsidRPr="00C3184F" w:rsidRDefault="007A73D0">
      <w:pPr>
        <w:spacing w:after="0"/>
        <w:jc w:val="both"/>
        <w:rPr>
          <w:rFonts w:ascii="Calibri" w:hAnsi="Calibri" w:cs="Calibri"/>
          <w:color w:val="7F7F7F"/>
          <w:sz w:val="18"/>
          <w:szCs w:val="18"/>
        </w:rPr>
      </w:pPr>
      <w:r w:rsidRPr="00C3184F">
        <w:rPr>
          <w:rFonts w:ascii="Calibri" w:hAnsi="Calibri" w:cs="Calibri"/>
          <w:color w:val="7F7F7F"/>
          <w:sz w:val="18"/>
          <w:szCs w:val="18"/>
        </w:rPr>
        <w:t>+48 531 848 471</w:t>
      </w:r>
    </w:p>
    <w:p w14:paraId="073DB00A" w14:textId="77777777" w:rsidR="002C7043" w:rsidRPr="00C3184F" w:rsidRDefault="002C7043">
      <w:pPr>
        <w:jc w:val="both"/>
        <w:rPr>
          <w:rFonts w:ascii="Calibri" w:eastAsia="Calibri" w:hAnsi="Calibri" w:cs="Calibri"/>
          <w:sz w:val="18"/>
          <w:szCs w:val="18"/>
        </w:rPr>
      </w:pPr>
    </w:p>
    <w:sectPr w:rsidR="002C7043" w:rsidRPr="00C3184F" w:rsidSect="00974BF1">
      <w:headerReference w:type="default" r:id="rId14"/>
      <w:pgSz w:w="11906" w:h="16838"/>
      <w:pgMar w:top="1417" w:right="1417" w:bottom="1417" w:left="1417" w:header="708" w:footer="79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01247" w14:textId="77777777" w:rsidR="002A0DC8" w:rsidRDefault="002A0DC8">
      <w:pPr>
        <w:spacing w:after="0" w:line="240" w:lineRule="auto"/>
      </w:pPr>
      <w:r>
        <w:separator/>
      </w:r>
    </w:p>
  </w:endnote>
  <w:endnote w:type="continuationSeparator" w:id="0">
    <w:p w14:paraId="4F246C85" w14:textId="77777777" w:rsidR="002A0DC8" w:rsidRDefault="002A0DC8">
      <w:pPr>
        <w:spacing w:after="0" w:line="240" w:lineRule="auto"/>
      </w:pPr>
      <w:r>
        <w:continuationSeparator/>
      </w:r>
    </w:p>
  </w:endnote>
  <w:endnote w:type="continuationNotice" w:id="1">
    <w:p w14:paraId="6F3CA17C" w14:textId="77777777" w:rsidR="002A0DC8" w:rsidRDefault="002A0D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0F16093-3C07-4FBD-B71E-49A8A8936B0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DA87C2F-4D9B-44C0-909E-6B09DB34D7EE}"/>
    <w:embedBold r:id="rId3" w:fontKey="{28BC5D2A-ADDE-45F7-BBAC-467DE0411205}"/>
    <w:embedItalic r:id="rId4" w:fontKey="{6EA5346C-5C00-4938-9128-980D64636D7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2ABDEA7-CDE4-4057-BDD3-59308646EAC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783382E-4925-4918-83A8-A3561244C88B}"/>
    <w:embedBold r:id="rId7" w:fontKey="{ADB3D61B-14F3-4337-A56B-90853443460D}"/>
    <w:embedItalic r:id="rId8" w:fontKey="{27308495-8B1E-457F-B2CC-9873BD264A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3BB00" w14:textId="77777777" w:rsidR="002A0DC8" w:rsidRDefault="002A0DC8">
      <w:pPr>
        <w:spacing w:after="0" w:line="240" w:lineRule="auto"/>
      </w:pPr>
      <w:r>
        <w:separator/>
      </w:r>
    </w:p>
  </w:footnote>
  <w:footnote w:type="continuationSeparator" w:id="0">
    <w:p w14:paraId="425B6865" w14:textId="77777777" w:rsidR="002A0DC8" w:rsidRDefault="002A0DC8">
      <w:pPr>
        <w:spacing w:after="0" w:line="240" w:lineRule="auto"/>
      </w:pPr>
      <w:r>
        <w:continuationSeparator/>
      </w:r>
    </w:p>
  </w:footnote>
  <w:footnote w:type="continuationNotice" w:id="1">
    <w:p w14:paraId="4A237CDC" w14:textId="77777777" w:rsidR="002A0DC8" w:rsidRDefault="002A0DC8">
      <w:pPr>
        <w:spacing w:after="0" w:line="240" w:lineRule="auto"/>
      </w:pPr>
    </w:p>
  </w:footnote>
  <w:footnote w:id="2">
    <w:p w14:paraId="073DB016" w14:textId="77777777" w:rsidR="002C7043" w:rsidRDefault="007A73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https://amecorg.com/2017/06/the-definitive-guide-why-aves-are-invalid/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DB011" w14:textId="77777777" w:rsidR="002C7043" w:rsidRDefault="007A73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73DB012" wp14:editId="2E1F9A4F">
          <wp:simplePos x="0" y="0"/>
          <wp:positionH relativeFrom="margin">
            <wp:posOffset>3643630</wp:posOffset>
          </wp:positionH>
          <wp:positionV relativeFrom="margin">
            <wp:posOffset>-671195</wp:posOffset>
          </wp:positionV>
          <wp:extent cx="1967230" cy="426720"/>
          <wp:effectExtent l="0" t="0" r="0" b="0"/>
          <wp:wrapSquare wrapText="bothSides" distT="0" distB="0" distL="114300" distR="114300"/>
          <wp:docPr id="1363577979" name="image1.png" descr="Obraz zawierający czarne, ciemność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czarne, ciemność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7230" cy="426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58241" behindDoc="0" locked="0" layoutInCell="1" hidden="0" allowOverlap="1" wp14:anchorId="073DB014" wp14:editId="073DB015">
          <wp:simplePos x="0" y="0"/>
          <wp:positionH relativeFrom="margin">
            <wp:posOffset>0</wp:posOffset>
          </wp:positionH>
          <wp:positionV relativeFrom="margin">
            <wp:posOffset>-749299</wp:posOffset>
          </wp:positionV>
          <wp:extent cx="1196340" cy="634365"/>
          <wp:effectExtent l="0" t="0" r="0" b="0"/>
          <wp:wrapSquare wrapText="bothSides" distT="0" distB="0" distL="114300" distR="114300"/>
          <wp:docPr id="1363577978" name="image2.png" descr="Obraz zawierający czarne, czarne i białe, monochromatyzm, design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czarne, czarne i białe, monochromatyzm, design&#10;&#10;Opis wygenerowany automatyczni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6340" cy="634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76053A"/>
    <w:multiLevelType w:val="multilevel"/>
    <w:tmpl w:val="6A76B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9027B4"/>
    <w:multiLevelType w:val="multilevel"/>
    <w:tmpl w:val="C4F458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31485144">
    <w:abstractNumId w:val="1"/>
  </w:num>
  <w:num w:numId="2" w16cid:durableId="535586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043"/>
    <w:rsid w:val="00003D3E"/>
    <w:rsid w:val="0002319C"/>
    <w:rsid w:val="0004086D"/>
    <w:rsid w:val="0006583F"/>
    <w:rsid w:val="000958F9"/>
    <w:rsid w:val="00104416"/>
    <w:rsid w:val="001A10C9"/>
    <w:rsid w:val="001B00DB"/>
    <w:rsid w:val="001D44A7"/>
    <w:rsid w:val="002134E4"/>
    <w:rsid w:val="00214967"/>
    <w:rsid w:val="002433E2"/>
    <w:rsid w:val="0025425A"/>
    <w:rsid w:val="002A0DC8"/>
    <w:rsid w:val="002A666C"/>
    <w:rsid w:val="002C7043"/>
    <w:rsid w:val="00357503"/>
    <w:rsid w:val="00374601"/>
    <w:rsid w:val="0038319C"/>
    <w:rsid w:val="00394249"/>
    <w:rsid w:val="00411F64"/>
    <w:rsid w:val="004542B7"/>
    <w:rsid w:val="0046536B"/>
    <w:rsid w:val="00481050"/>
    <w:rsid w:val="00495D1E"/>
    <w:rsid w:val="004E00C4"/>
    <w:rsid w:val="00500547"/>
    <w:rsid w:val="0051507F"/>
    <w:rsid w:val="00526914"/>
    <w:rsid w:val="0056029E"/>
    <w:rsid w:val="00563E0B"/>
    <w:rsid w:val="005A5822"/>
    <w:rsid w:val="005F1D40"/>
    <w:rsid w:val="0065237B"/>
    <w:rsid w:val="006B6B99"/>
    <w:rsid w:val="006C3AA1"/>
    <w:rsid w:val="00714BAF"/>
    <w:rsid w:val="00777FCF"/>
    <w:rsid w:val="00797157"/>
    <w:rsid w:val="007A19FA"/>
    <w:rsid w:val="007A6B97"/>
    <w:rsid w:val="007A73D0"/>
    <w:rsid w:val="007B3D24"/>
    <w:rsid w:val="00811F0C"/>
    <w:rsid w:val="008406DD"/>
    <w:rsid w:val="008864E7"/>
    <w:rsid w:val="008B0D18"/>
    <w:rsid w:val="008D74E8"/>
    <w:rsid w:val="008E7A7C"/>
    <w:rsid w:val="00906781"/>
    <w:rsid w:val="00917689"/>
    <w:rsid w:val="00974BF1"/>
    <w:rsid w:val="00990464"/>
    <w:rsid w:val="009A523A"/>
    <w:rsid w:val="009C17D0"/>
    <w:rsid w:val="009C481E"/>
    <w:rsid w:val="00A64548"/>
    <w:rsid w:val="00AC2E76"/>
    <w:rsid w:val="00AF55B0"/>
    <w:rsid w:val="00B374ED"/>
    <w:rsid w:val="00B4252B"/>
    <w:rsid w:val="00C3184F"/>
    <w:rsid w:val="00CF04F7"/>
    <w:rsid w:val="00CF1558"/>
    <w:rsid w:val="00D460EC"/>
    <w:rsid w:val="00D72E3B"/>
    <w:rsid w:val="00E76727"/>
    <w:rsid w:val="00EA2CCC"/>
    <w:rsid w:val="00EC1676"/>
    <w:rsid w:val="00F57C3E"/>
    <w:rsid w:val="00F64345"/>
    <w:rsid w:val="00F8038C"/>
    <w:rsid w:val="00FA20FF"/>
    <w:rsid w:val="00FE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3DAFE1"/>
  <w15:docId w15:val="{529C9E2A-E17F-4D25-B50E-76DD783F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08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C08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C08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C08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C08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C08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C08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C08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C08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8C08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C08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8C08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C08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C088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C088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C088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C088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C088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C0880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8C08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C08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C08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C088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C088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C088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C08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C088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C0880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7B7A5C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7A5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6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674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674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674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03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36FE"/>
  </w:style>
  <w:style w:type="paragraph" w:styleId="Stopka">
    <w:name w:val="footer"/>
    <w:basedOn w:val="Normalny"/>
    <w:link w:val="StopkaZnak"/>
    <w:uiPriority w:val="99"/>
    <w:unhideWhenUsed/>
    <w:rsid w:val="00703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36FE"/>
  </w:style>
  <w:style w:type="paragraph" w:styleId="Poprawka">
    <w:name w:val="Revision"/>
    <w:hidden/>
    <w:uiPriority w:val="99"/>
    <w:semiHidden/>
    <w:rsid w:val="004C173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D3D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D3D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D3D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3D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3D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48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oanna.dokudowicz@zfpr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zfpr.pl/kdpr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zmierzpr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07ED46F805D44496198F96D7316495" ma:contentTypeVersion="18" ma:contentTypeDescription="Utwórz nowy dokument." ma:contentTypeScope="" ma:versionID="5efb6061e77feb0d4f14578483be691f">
  <xsd:schema xmlns:xsd="http://www.w3.org/2001/XMLSchema" xmlns:xs="http://www.w3.org/2001/XMLSchema" xmlns:p="http://schemas.microsoft.com/office/2006/metadata/properties" xmlns:ns2="9523fd9c-5714-4b4c-9031-6f99b093637a" xmlns:ns3="29fc015c-88e2-4d96-8e60-062d50487fdd" targetNamespace="http://schemas.microsoft.com/office/2006/metadata/properties" ma:root="true" ma:fieldsID="7b22d7c61f933dd42c76ec78e92be0dc" ns2:_="" ns3:_="">
    <xsd:import namespace="9523fd9c-5714-4b4c-9031-6f99b093637a"/>
    <xsd:import namespace="29fc015c-88e2-4d96-8e60-062d50487f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3fd9c-5714-4b4c-9031-6f99b09363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79f3f438-ba68-4a3b-bacb-603ae64a9c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c015c-88e2-4d96-8e60-062d50487fd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3630ca-6a50-43f5-ac52-8d733d9ecb84}" ma:internalName="TaxCatchAll" ma:showField="CatchAllData" ma:web="29fc015c-88e2-4d96-8e60-062d50487f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Bv89C8tw1xrx4J06WPpbfqsUCw==">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23fd9c-5714-4b4c-9031-6f99b093637a">
      <Terms xmlns="http://schemas.microsoft.com/office/infopath/2007/PartnerControls"/>
    </lcf76f155ced4ddcb4097134ff3c332f>
    <TaxCatchAll xmlns="29fc015c-88e2-4d96-8e60-062d50487fdd" xsi:nil="true"/>
  </documentManagement>
</p:properties>
</file>

<file path=customXml/itemProps1.xml><?xml version="1.0" encoding="utf-8"?>
<ds:datastoreItem xmlns:ds="http://schemas.openxmlformats.org/officeDocument/2006/customXml" ds:itemID="{1FEAE37F-DFF7-48ED-A51B-02338651DA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23fd9c-5714-4b4c-9031-6f99b093637a"/>
    <ds:schemaRef ds:uri="29fc015c-88e2-4d96-8e60-062d50487f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914C8D4-925B-4DA1-BD0C-7E516295C9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5291F9-F476-4888-AAE0-0F6FBEA92185}">
  <ds:schemaRefs>
    <ds:schemaRef ds:uri="http://schemas.microsoft.com/office/2006/metadata/properties"/>
    <ds:schemaRef ds:uri="http://schemas.microsoft.com/office/infopath/2007/PartnerControls"/>
    <ds:schemaRef ds:uri="9523fd9c-5714-4b4c-9031-6f99b093637a"/>
    <ds:schemaRef ds:uri="29fc015c-88e2-4d96-8e60-062d50487f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1258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Dokudowicz</dc:creator>
  <cp:lastModifiedBy>Joanna Dokudowicz</cp:lastModifiedBy>
  <cp:revision>11</cp:revision>
  <dcterms:created xsi:type="dcterms:W3CDTF">2024-06-21T14:37:00Z</dcterms:created>
  <dcterms:modified xsi:type="dcterms:W3CDTF">2024-07-02T10:29:00Z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0x0101006007ED46F805D44496198F96D7316495</vt:lpwstr>
  </property>
  <property fmtid="{D5CDD505-2E9C-101B-9397-08002B2CF9AE}" pid="3" name="MediaServiceImageTags">
    <vt:lpwstr/>
  </property>
</Properties>
</file>