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76B3F" w14:textId="46056DC3" w:rsidR="00D04E9A" w:rsidRPr="00FF4312" w:rsidRDefault="00474D3C" w:rsidP="00126394">
      <w:pPr>
        <w:jc w:val="right"/>
      </w:pPr>
      <w:r w:rsidRPr="00FF4312">
        <w:t xml:space="preserve">Warszawa, </w:t>
      </w:r>
      <w:r w:rsidR="00FF4312" w:rsidRPr="00FF4312">
        <w:t xml:space="preserve">3 września </w:t>
      </w:r>
      <w:r w:rsidRPr="00FF4312">
        <w:t>2024 r.</w:t>
      </w:r>
    </w:p>
    <w:p w14:paraId="418A9B63" w14:textId="77777777" w:rsidR="00330CD2" w:rsidRDefault="00330CD2" w:rsidP="00474D3C">
      <w:pPr>
        <w:tabs>
          <w:tab w:val="left" w:pos="2160"/>
        </w:tabs>
        <w:jc w:val="both"/>
      </w:pPr>
    </w:p>
    <w:p w14:paraId="098B216F" w14:textId="77777777" w:rsidR="00FF4312" w:rsidRPr="00FF4312" w:rsidRDefault="00FF4312" w:rsidP="00FF4312">
      <w:pPr>
        <w:jc w:val="both"/>
        <w:rPr>
          <w:b/>
          <w:bCs/>
          <w:sz w:val="24"/>
          <w:szCs w:val="24"/>
        </w:rPr>
      </w:pPr>
      <w:r w:rsidRPr="00FF4312">
        <w:rPr>
          <w:b/>
          <w:bCs/>
          <w:sz w:val="24"/>
          <w:szCs w:val="24"/>
        </w:rPr>
        <w:t xml:space="preserve">Reklamy energetyczne pod lupą: Orlen, Energa i PGE w walce o </w:t>
      </w:r>
      <w:proofErr w:type="spellStart"/>
      <w:r w:rsidRPr="00FF4312">
        <w:rPr>
          <w:b/>
          <w:bCs/>
          <w:sz w:val="24"/>
          <w:szCs w:val="24"/>
        </w:rPr>
        <w:t>prime</w:t>
      </w:r>
      <w:proofErr w:type="spellEnd"/>
      <w:r w:rsidRPr="00FF4312">
        <w:rPr>
          <w:b/>
          <w:bCs/>
          <w:sz w:val="24"/>
          <w:szCs w:val="24"/>
        </w:rPr>
        <w:t xml:space="preserve"> </w:t>
      </w:r>
      <w:proofErr w:type="spellStart"/>
      <w:r w:rsidRPr="00FF4312">
        <w:rPr>
          <w:b/>
          <w:bCs/>
          <w:sz w:val="24"/>
          <w:szCs w:val="24"/>
        </w:rPr>
        <w:t>time</w:t>
      </w:r>
      <w:proofErr w:type="spellEnd"/>
      <w:r w:rsidRPr="00FF4312">
        <w:rPr>
          <w:b/>
          <w:bCs/>
          <w:sz w:val="24"/>
          <w:szCs w:val="24"/>
        </w:rPr>
        <w:t>. Kto promuje zieloną przyszłość?</w:t>
      </w:r>
    </w:p>
    <w:p w14:paraId="398E5CB1" w14:textId="77777777" w:rsidR="00FF4312" w:rsidRDefault="00FF4312" w:rsidP="00FF4312">
      <w:pPr>
        <w:jc w:val="both"/>
        <w:rPr>
          <w:b/>
          <w:bCs/>
        </w:rPr>
      </w:pPr>
      <w:r w:rsidRPr="00496C75">
        <w:rPr>
          <w:b/>
          <w:bCs/>
        </w:rPr>
        <w:t xml:space="preserve">W branży energetycznej trwa </w:t>
      </w:r>
      <w:r>
        <w:rPr>
          <w:b/>
          <w:bCs/>
        </w:rPr>
        <w:t>intensywna</w:t>
      </w:r>
      <w:r w:rsidRPr="00496C75">
        <w:rPr>
          <w:b/>
          <w:bCs/>
        </w:rPr>
        <w:t xml:space="preserve"> walka o uwagę konsumentów, a koncerny takie jak Orlen, Energa i PGE nie szczędzą środków na kampanie reklamowe. Z analizy Instytutu Monitorowania Mediów wynika, że w okresie od maja do lipca br. na reklamy bezpośrednie wydano blisko 41 mln zł. Liderem wydatków reklamowych był Orlen, który zainwestował ponad 25,7 mln zł, trzykrotnie przewyższając budżet PGE. </w:t>
      </w:r>
      <w:r>
        <w:rPr>
          <w:b/>
          <w:bCs/>
        </w:rPr>
        <w:t>G</w:t>
      </w:r>
      <w:r w:rsidRPr="00496C75">
        <w:rPr>
          <w:b/>
          <w:bCs/>
        </w:rPr>
        <w:t>łównym wątkiem w reklamach tych koncernów</w:t>
      </w:r>
      <w:r>
        <w:rPr>
          <w:b/>
          <w:bCs/>
        </w:rPr>
        <w:t xml:space="preserve"> stała się z</w:t>
      </w:r>
      <w:r w:rsidRPr="00496C75">
        <w:rPr>
          <w:b/>
          <w:bCs/>
        </w:rPr>
        <w:t>ielona energia, podkreślając ich zaangażowanie w promowanie odnawialnych źródeł</w:t>
      </w:r>
      <w:r>
        <w:rPr>
          <w:b/>
          <w:bCs/>
        </w:rPr>
        <w:t>.</w:t>
      </w:r>
    </w:p>
    <w:p w14:paraId="2586C313" w14:textId="49630056" w:rsidR="00FF4312" w:rsidRDefault="00FF4312" w:rsidP="00FF4312">
      <w:pPr>
        <w:jc w:val="both"/>
      </w:pPr>
      <w:r w:rsidRPr="00496C75">
        <w:t>Koncerny energetyczne to istotni gracze na rynku reklam. Bardzo często są sponsorami wydarzeń sportowych, prowadzą kampanie promujące ekologiczne rozwiązania dla domów, a także reklamują się przy okazji różnego rodzaju promocji. Który z nich rozdaje karty?</w:t>
      </w:r>
      <w:r>
        <w:t xml:space="preserve"> Zespół </w:t>
      </w:r>
      <w:proofErr w:type="spellStart"/>
      <w:r>
        <w:t>adMonit</w:t>
      </w:r>
      <w:proofErr w:type="spellEnd"/>
      <w:r>
        <w:t xml:space="preserve"> IMM wziął pod lupę reklamy </w:t>
      </w:r>
      <w:r w:rsidR="00CE1E26">
        <w:t xml:space="preserve">w prasie, radiu i telewizji </w:t>
      </w:r>
      <w:r>
        <w:t>największych w Polsce koncernów zajmujących się produkcją energii. Analizie poddano spółki: Orlen</w:t>
      </w:r>
      <w:r w:rsidRPr="001144FF">
        <w:t>, Energa, Enea, PGE,</w:t>
      </w:r>
      <w:r>
        <w:t xml:space="preserve"> </w:t>
      </w:r>
      <w:r w:rsidRPr="001144FF">
        <w:t>Tauron</w:t>
      </w:r>
      <w:r>
        <w:t xml:space="preserve"> oraz </w:t>
      </w:r>
      <w:proofErr w:type="spellStart"/>
      <w:r>
        <w:t>Veolia</w:t>
      </w:r>
      <w:proofErr w:type="spellEnd"/>
      <w:r>
        <w:t xml:space="preserve">. </w:t>
      </w:r>
    </w:p>
    <w:p w14:paraId="3DF68266" w14:textId="77777777" w:rsidR="00FF4312" w:rsidRDefault="00FF4312" w:rsidP="00FF4312">
      <w:pPr>
        <w:jc w:val="both"/>
      </w:pPr>
      <w:r>
        <w:t xml:space="preserve">Jak wynika z danych </w:t>
      </w:r>
      <w:proofErr w:type="spellStart"/>
      <w:r>
        <w:t>adMonit</w:t>
      </w:r>
      <w:proofErr w:type="spellEnd"/>
      <w:r>
        <w:t xml:space="preserve"> IMM w okresie od 1 maja do 31 lipca br. wyemitowano ponad 22,5 tys. reklam bezpośrednich</w:t>
      </w:r>
      <w:r>
        <w:rPr>
          <w:rStyle w:val="Odwoanieprzypisudolnego"/>
        </w:rPr>
        <w:footnoteReference w:id="1"/>
      </w:r>
      <w:r>
        <w:t xml:space="preserve"> koncernów energetycznych, z czego najwięcej, bo blisko 11,3 tys. pojawiło się w radiu. W analizowanym czasie na reklamy bezpośrednie branży energetycznej wydano blisko </w:t>
      </w:r>
      <w:bookmarkStart w:id="0" w:name="_Hlk175560618"/>
      <w:r>
        <w:t>41 mln zł</w:t>
      </w:r>
      <w:bookmarkEnd w:id="0"/>
      <w:r>
        <w:t>.</w:t>
      </w:r>
    </w:p>
    <w:p w14:paraId="34F55C5F" w14:textId="77777777" w:rsidR="00FF4312" w:rsidRDefault="00FF4312" w:rsidP="00FF4312">
      <w:pPr>
        <w:jc w:val="both"/>
      </w:pPr>
      <w:r>
        <w:t>Liderem wydatków reklamowych był Orlen. Spółka wydała na reklamy bezpośrednie ponad 25,7 mln zł. To ponad trzy razy więcej niż PGE – koncern z drugim największym budżetem reklamowym – blisko 8,3 mln zł. W czołówce znalazła się również Energa z wynikiem ponad 6 mln zł.</w:t>
      </w:r>
    </w:p>
    <w:p w14:paraId="43E56FC5" w14:textId="77777777" w:rsidR="00FF4312" w:rsidRPr="00D747E1" w:rsidRDefault="00FF4312" w:rsidP="00FF4312">
      <w:pPr>
        <w:jc w:val="both"/>
        <w:rPr>
          <w:b/>
          <w:bCs/>
        </w:rPr>
      </w:pPr>
      <w:r w:rsidRPr="00D747E1">
        <w:rPr>
          <w:b/>
          <w:bCs/>
        </w:rPr>
        <w:t xml:space="preserve">Kto zdominował </w:t>
      </w:r>
      <w:proofErr w:type="spellStart"/>
      <w:r w:rsidRPr="00D747E1">
        <w:rPr>
          <w:b/>
          <w:bCs/>
        </w:rPr>
        <w:t>prime</w:t>
      </w:r>
      <w:proofErr w:type="spellEnd"/>
      <w:r w:rsidRPr="00D747E1">
        <w:rPr>
          <w:b/>
          <w:bCs/>
        </w:rPr>
        <w:t xml:space="preserve"> </w:t>
      </w:r>
      <w:proofErr w:type="spellStart"/>
      <w:r w:rsidRPr="00D747E1">
        <w:rPr>
          <w:b/>
          <w:bCs/>
        </w:rPr>
        <w:t>time</w:t>
      </w:r>
      <w:proofErr w:type="spellEnd"/>
      <w:r w:rsidRPr="00D747E1">
        <w:rPr>
          <w:b/>
          <w:bCs/>
        </w:rPr>
        <w:t>?</w:t>
      </w:r>
    </w:p>
    <w:p w14:paraId="53FDA870" w14:textId="77777777" w:rsidR="00FF4312" w:rsidRDefault="00FF4312" w:rsidP="00FF4312">
      <w:pPr>
        <w:jc w:val="both"/>
      </w:pPr>
      <w:r>
        <w:t xml:space="preserve">Sukces reklamy zależy od wielu czynników. Jednym z nich jest liczba osób, które będą miały kontakt z przekazem. Nic więc dziwnego, że firmom zależy, by ich treści emitowane były w godzinach największej oglądalności czy słuchalności. W ostatnich trzech miesiącach </w:t>
      </w:r>
      <w:proofErr w:type="spellStart"/>
      <w:r>
        <w:t>prime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telewizyjny zdominowały reklamy </w:t>
      </w:r>
      <w:r w:rsidRPr="008D31D4">
        <w:rPr>
          <w:b/>
          <w:bCs/>
        </w:rPr>
        <w:t>Orlen</w:t>
      </w:r>
      <w:r>
        <w:t xml:space="preserve">. Spółka zostawiła konkurencję daleko w tyle, emitując w najlepszym czasie ponad </w:t>
      </w:r>
      <w:r w:rsidRPr="00F16E53">
        <w:t>2</w:t>
      </w:r>
      <w:r>
        <w:t xml:space="preserve">,2 tys. reklam bezpośrednich w telewizji. Drugim najczęściej reklamowanych koncernem w </w:t>
      </w:r>
      <w:proofErr w:type="spellStart"/>
      <w:r>
        <w:t>prime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telewizyjnym była </w:t>
      </w:r>
      <w:r w:rsidRPr="008D31D4">
        <w:rPr>
          <w:b/>
          <w:bCs/>
        </w:rPr>
        <w:t>Energa</w:t>
      </w:r>
      <w:r>
        <w:t xml:space="preserve">. Widzowie w przeciągu ostatnich trzech miesięcy w godzinach 18:00 – 23:00 mogli zobaczyć reklamy tego koncernu 368 razy. W czołówce znalazło się również </w:t>
      </w:r>
      <w:r w:rsidRPr="008D31D4">
        <w:rPr>
          <w:b/>
          <w:bCs/>
        </w:rPr>
        <w:t>PGE</w:t>
      </w:r>
      <w:r>
        <w:t>. Spoty Polskiej Grupy Energetycznej pokazano w godzinach najwyższej oglądalności 180 razy.</w:t>
      </w:r>
    </w:p>
    <w:p w14:paraId="4533C2A7" w14:textId="77777777" w:rsidR="00FF4312" w:rsidRDefault="00FF4312" w:rsidP="00FF4312">
      <w:pPr>
        <w:jc w:val="both"/>
      </w:pPr>
      <w:r>
        <w:t xml:space="preserve">W przypadku </w:t>
      </w:r>
      <w:proofErr w:type="spellStart"/>
      <w:r>
        <w:t>prime</w:t>
      </w:r>
      <w:proofErr w:type="spellEnd"/>
      <w:r>
        <w:t xml:space="preserve"> </w:t>
      </w:r>
      <w:proofErr w:type="spellStart"/>
      <w:r>
        <w:t>time’u</w:t>
      </w:r>
      <w:proofErr w:type="spellEnd"/>
      <w:r>
        <w:t xml:space="preserve"> radiowego (</w:t>
      </w:r>
      <w:r w:rsidRPr="00814DDB">
        <w:t xml:space="preserve">6:45 </w:t>
      </w:r>
      <w:r>
        <w:t>–</w:t>
      </w:r>
      <w:r w:rsidRPr="00814DDB">
        <w:t xml:space="preserve"> 18:30</w:t>
      </w:r>
      <w:r>
        <w:t>)</w:t>
      </w:r>
      <w:r w:rsidRPr="00814DDB">
        <w:t xml:space="preserve"> </w:t>
      </w:r>
      <w:r>
        <w:t xml:space="preserve">najpopularniejszym koncernem była </w:t>
      </w:r>
      <w:r w:rsidRPr="008D31D4">
        <w:rPr>
          <w:b/>
          <w:bCs/>
        </w:rPr>
        <w:t>Energa</w:t>
      </w:r>
      <w:r>
        <w:t xml:space="preserve"> z liczbą ponad 3,1 tys. reklam bezpośrednich. Drugie miejsce należy do </w:t>
      </w:r>
      <w:r w:rsidRPr="008D31D4">
        <w:rPr>
          <w:b/>
          <w:bCs/>
        </w:rPr>
        <w:t>PGE</w:t>
      </w:r>
      <w:r>
        <w:t xml:space="preserve">. Spółka wyemitowała w czasie najwyższej słuchalności zaledwie 1 reklamę mniej od Energii. Podium zamyka </w:t>
      </w:r>
      <w:r w:rsidRPr="008D31D4">
        <w:rPr>
          <w:b/>
          <w:bCs/>
        </w:rPr>
        <w:t>Orlen</w:t>
      </w:r>
      <w:r>
        <w:t>. Ten koncern energetyczno-paliwowy wypuścił na antenie polskich stacji radiowych ponad 2,9 tys. reklam bezpośrednich.</w:t>
      </w:r>
    </w:p>
    <w:p w14:paraId="6DBF6512" w14:textId="77777777" w:rsidR="00FF4312" w:rsidRPr="00B714C3" w:rsidRDefault="00FF4312" w:rsidP="00FF4312">
      <w:pPr>
        <w:jc w:val="both"/>
        <w:rPr>
          <w:b/>
          <w:bCs/>
        </w:rPr>
      </w:pPr>
      <w:r>
        <w:rPr>
          <w:b/>
          <w:bCs/>
        </w:rPr>
        <w:t>Jakie tematy przewijają się w reklamach branży energetycznej?</w:t>
      </w:r>
    </w:p>
    <w:p w14:paraId="62954CA9" w14:textId="77777777" w:rsidR="00FF4312" w:rsidRDefault="00FF4312" w:rsidP="00FF4312">
      <w:pPr>
        <w:jc w:val="both"/>
      </w:pPr>
      <w:r>
        <w:t xml:space="preserve">W badanym okresie dominowały dwa rodzaje reklam – materiały, w których przeplatały się wątki odnawialnych źródeł energii oraz treści kładące nacisk na sponsoring sportowy. Pierwsze stanowiły 36,9 </w:t>
      </w:r>
      <w:r>
        <w:lastRenderedPageBreak/>
        <w:t>proc. wszystkich emisji. Z kolei udział reklam, w których m.in. występowali najbardziej znani polscy sportowcy, wyniósł 7,3 proc.</w:t>
      </w:r>
    </w:p>
    <w:p w14:paraId="14AAE99B" w14:textId="77777777" w:rsidR="00FF4312" w:rsidRPr="00D747E1" w:rsidRDefault="00FF4312" w:rsidP="00FF4312">
      <w:pPr>
        <w:jc w:val="both"/>
        <w:rPr>
          <w:b/>
          <w:bCs/>
        </w:rPr>
      </w:pPr>
      <w:r w:rsidRPr="00D747E1">
        <w:rPr>
          <w:b/>
          <w:bCs/>
        </w:rPr>
        <w:t>Zielona energia w reklamach koncernów energetycznych</w:t>
      </w:r>
    </w:p>
    <w:p w14:paraId="7BD09C99" w14:textId="71D52C4C" w:rsidR="00FF4312" w:rsidRDefault="00FF4312" w:rsidP="00FF4312">
      <w:pPr>
        <w:jc w:val="both"/>
      </w:pPr>
      <w:r>
        <w:t xml:space="preserve">Temat transformacji energetycznej zajmuje ważne miejsce w polskiej debacie publicznej. Coraz więcej mówi się między innymi o potrzebie odejścia od węgla, którego najlepsze złoża szybko się wyczerpują. </w:t>
      </w:r>
      <w:r w:rsidR="00111FD7">
        <w:t xml:space="preserve">Elektrownie wiatrowe, farmy fotowoltaiczne, dachy pokryte panelami słonecznymi stały się również głównymi wątkami ponad 3,4 tys. reklam </w:t>
      </w:r>
      <w:r w:rsidR="00111FD7" w:rsidRPr="008D31D4">
        <w:rPr>
          <w:b/>
          <w:bCs/>
        </w:rPr>
        <w:t>Polskiej Grupy Energetycznej</w:t>
      </w:r>
      <w:r w:rsidR="00111FD7">
        <w:t xml:space="preserve">. Budżet organizacji tylko na reklamy czystej energii sięgnął ponad 7,1 mln zł. </w:t>
      </w:r>
      <w:r>
        <w:t xml:space="preserve">Koncernem, który wypuścił najwięcej reklam promujących energię z odnawialnych źródeł energii – ponad 4,9 tys. – była </w:t>
      </w:r>
      <w:r w:rsidRPr="008D31D4">
        <w:rPr>
          <w:b/>
          <w:bCs/>
        </w:rPr>
        <w:t>Energa</w:t>
      </w:r>
      <w:r>
        <w:t xml:space="preserve">. Spółka na reklamy tego rodzaju energii wydała blisko 3,4 mln zł. </w:t>
      </w:r>
    </w:p>
    <w:p w14:paraId="0D1489C1" w14:textId="77777777" w:rsidR="00FF4312" w:rsidRPr="00D747E1" w:rsidRDefault="00FF4312" w:rsidP="00FF4312">
      <w:pPr>
        <w:jc w:val="both"/>
        <w:rPr>
          <w:b/>
          <w:bCs/>
        </w:rPr>
      </w:pPr>
      <w:r w:rsidRPr="00D747E1">
        <w:rPr>
          <w:b/>
          <w:bCs/>
        </w:rPr>
        <w:t>Promocje, loterie, weekendy – idealne okazje na reklamy</w:t>
      </w:r>
    </w:p>
    <w:p w14:paraId="67F56171" w14:textId="1A1142AB" w:rsidR="00FF4312" w:rsidRDefault="00FF4312" w:rsidP="00FF4312">
      <w:pPr>
        <w:jc w:val="both"/>
      </w:pPr>
      <w:r>
        <w:t xml:space="preserve">Okres od 1 maja do 31 lipca był czasem intensywnych zmian w liczbie emitowanych reklam branży energetycznej. Początkowo wszystkie koncerny reklamowały się w podobnym zakresie tematycznym. Pierwszą organizacją, która wyłamała się ze schematu była Polska Grupa Energetyczna. 10 czerwca ruszyła Zielona Loteria PGE, a spółka regularnie zachęcała w mediach do wzięcia udziału w losowaniu. Z kolei pod koniec czerwca Orlen wystartował z emisją reklam nagłaśniających weekendową promocję koncernu na paliwo. Promocja ruszyła 28 czerwca i właśnie ta data zapoczątkowała </w:t>
      </w:r>
      <w:proofErr w:type="spellStart"/>
      <w:r>
        <w:t>coweekendowe</w:t>
      </w:r>
      <w:proofErr w:type="spellEnd"/>
      <w:r>
        <w:t xml:space="preserve"> promowanie akcji. </w:t>
      </w:r>
    </w:p>
    <w:p w14:paraId="6DFF912F" w14:textId="2275B30C" w:rsidR="00166DA0" w:rsidRPr="00166DA0" w:rsidRDefault="00166DA0" w:rsidP="00166DA0">
      <w:pPr>
        <w:jc w:val="both"/>
        <w:rPr>
          <w:b/>
          <w:bCs/>
        </w:rPr>
      </w:pPr>
      <w:r w:rsidRPr="00166DA0">
        <w:rPr>
          <w:b/>
          <w:bCs/>
        </w:rPr>
        <w:t>Metodologia badania:</w:t>
      </w:r>
    </w:p>
    <w:p w14:paraId="5D76AEAA" w14:textId="36D54793" w:rsidR="00166DA0" w:rsidRDefault="00166DA0" w:rsidP="00166DA0">
      <w:pPr>
        <w:jc w:val="both"/>
      </w:pPr>
      <w:r>
        <w:t xml:space="preserve">Raport został opracowany na podstawie danych z monitoringu reklam </w:t>
      </w:r>
      <w:proofErr w:type="spellStart"/>
      <w:r>
        <w:t>adMonit</w:t>
      </w:r>
      <w:proofErr w:type="spellEnd"/>
      <w:r>
        <w:t xml:space="preserve"> IMM w okresie od 1 maja do 31 lipca 2024 r. Badaniem objęto reklamy opublikowane w prasie oraz wyemitowane w radiu i telewizji. Wydatki prezentowane w raporcie podawane są według oficjalnych cenników netto poszczególnych mediów bez uwzględnienia rabatów. W przypadku reklam bezpośrednich realizowane są one przez producenta, natomiast w przypadku reklamy pośredniej przez dystrybutorów lub sprzedawców detalicznych. </w:t>
      </w:r>
      <w:proofErr w:type="spellStart"/>
      <w:r>
        <w:t>adMonit</w:t>
      </w:r>
      <w:proofErr w:type="spellEnd"/>
      <w:r>
        <w:t xml:space="preserve"> umożliwia monitorowanie kampanii reklamowych pod kątem nowych emisji w czasie rzeczywistym oraz wydatków reklamowych w podziale na szczegółowe kategorie i marki produktów.</w:t>
      </w:r>
    </w:p>
    <w:p w14:paraId="4279D285" w14:textId="77777777" w:rsidR="00FF4312" w:rsidRDefault="00FF4312" w:rsidP="00FF4312">
      <w:pPr>
        <w:pStyle w:val="NormalnyWeb"/>
        <w:shd w:val="clear" w:color="auto" w:fill="FFFFFF"/>
        <w:spacing w:after="0"/>
        <w:jc w:val="both"/>
        <w:textAlignment w:val="baseline"/>
        <w:rPr>
          <w:rStyle w:val="Pogrubienie"/>
          <w:rFonts w:ascii="Calibri" w:hAnsi="Calibri" w:cs="Calibri"/>
          <w:sz w:val="22"/>
          <w:szCs w:val="22"/>
          <w:bdr w:val="none" w:sz="0" w:space="0" w:color="auto" w:frame="1"/>
        </w:rPr>
      </w:pPr>
    </w:p>
    <w:p w14:paraId="41244254" w14:textId="310907B7" w:rsidR="00FF4312" w:rsidRPr="00E21D53" w:rsidRDefault="00FF4312" w:rsidP="00FF4312">
      <w:pPr>
        <w:pStyle w:val="NormalnyWeb"/>
        <w:shd w:val="clear" w:color="auto" w:fill="FFFFFF"/>
        <w:spacing w:after="0"/>
        <w:jc w:val="both"/>
        <w:textAlignment w:val="baseline"/>
        <w:rPr>
          <w:rStyle w:val="Pogrubienie"/>
          <w:rFonts w:ascii="Calibri" w:hAnsi="Calibri" w:cs="Calibri"/>
          <w:sz w:val="22"/>
          <w:szCs w:val="22"/>
          <w:bdr w:val="none" w:sz="0" w:space="0" w:color="auto" w:frame="1"/>
        </w:rPr>
      </w:pPr>
      <w:r w:rsidRPr="00E21D53">
        <w:rPr>
          <w:rStyle w:val="Pogrubienie"/>
          <w:rFonts w:ascii="Calibri" w:hAnsi="Calibri" w:cs="Calibri"/>
          <w:sz w:val="22"/>
          <w:szCs w:val="22"/>
          <w:bdr w:val="none" w:sz="0" w:space="0" w:color="auto" w:frame="1"/>
        </w:rPr>
        <w:t>Kontakt dla mediów:</w:t>
      </w:r>
    </w:p>
    <w:p w14:paraId="2711700D" w14:textId="77777777" w:rsidR="00FF4312" w:rsidRPr="00FF4312" w:rsidRDefault="00FF4312" w:rsidP="00FF4312">
      <w:pPr>
        <w:spacing w:before="28" w:after="28" w:line="240" w:lineRule="auto"/>
        <w:jc w:val="both"/>
        <w:rPr>
          <w:rStyle w:val="Pogrubienie"/>
          <w:rFonts w:eastAsia="Times New Roman" w:cs="Calibri"/>
          <w:b w:val="0"/>
          <w:bCs w:val="0"/>
          <w:bdr w:val="none" w:sz="0" w:space="0" w:color="auto" w:frame="1"/>
          <w:lang w:eastAsia="pl-PL"/>
        </w:rPr>
      </w:pPr>
      <w:r w:rsidRPr="00FF4312">
        <w:rPr>
          <w:rStyle w:val="Pogrubienie"/>
          <w:rFonts w:eastAsia="Times New Roman" w:cs="Calibri"/>
          <w:b w:val="0"/>
          <w:bCs w:val="0"/>
          <w:bdr w:val="none" w:sz="0" w:space="0" w:color="auto" w:frame="1"/>
          <w:lang w:eastAsia="pl-PL"/>
        </w:rPr>
        <w:t>Katarzyna Ozga</w:t>
      </w:r>
    </w:p>
    <w:p w14:paraId="63046CE6" w14:textId="77777777" w:rsidR="00FF4312" w:rsidRPr="00FF4312" w:rsidRDefault="00FF4312" w:rsidP="00FF4312">
      <w:pPr>
        <w:spacing w:before="28" w:after="28" w:line="240" w:lineRule="auto"/>
        <w:jc w:val="both"/>
        <w:rPr>
          <w:rStyle w:val="Pogrubienie"/>
          <w:rFonts w:eastAsia="Times New Roman" w:cs="Calibri"/>
          <w:b w:val="0"/>
          <w:bCs w:val="0"/>
          <w:bdr w:val="none" w:sz="0" w:space="0" w:color="auto" w:frame="1"/>
          <w:lang w:eastAsia="pl-PL"/>
        </w:rPr>
      </w:pPr>
      <w:r w:rsidRPr="00FF4312">
        <w:rPr>
          <w:rStyle w:val="Pogrubienie"/>
          <w:rFonts w:eastAsia="Times New Roman" w:cs="Calibri"/>
          <w:b w:val="0"/>
          <w:bCs w:val="0"/>
          <w:bdr w:val="none" w:sz="0" w:space="0" w:color="auto" w:frame="1"/>
          <w:lang w:eastAsia="pl-PL"/>
        </w:rPr>
        <w:t>Specjalistka ds. komunikacji marketingowej</w:t>
      </w:r>
    </w:p>
    <w:p w14:paraId="3BD2AD04" w14:textId="77777777" w:rsidR="00FF4312" w:rsidRPr="00FF4312" w:rsidRDefault="00FF4312" w:rsidP="00FF4312">
      <w:pPr>
        <w:spacing w:before="28" w:after="28" w:line="240" w:lineRule="auto"/>
        <w:jc w:val="both"/>
        <w:rPr>
          <w:rStyle w:val="Pogrubienie"/>
          <w:rFonts w:eastAsia="Times New Roman" w:cs="Calibri"/>
          <w:b w:val="0"/>
          <w:bCs w:val="0"/>
          <w:bdr w:val="none" w:sz="0" w:space="0" w:color="auto" w:frame="1"/>
          <w:lang w:eastAsia="pl-PL"/>
        </w:rPr>
      </w:pPr>
      <w:r w:rsidRPr="00FF4312">
        <w:rPr>
          <w:rStyle w:val="Pogrubienie"/>
          <w:rFonts w:eastAsia="Times New Roman" w:cs="Calibri"/>
          <w:b w:val="0"/>
          <w:bCs w:val="0"/>
          <w:bdr w:val="none" w:sz="0" w:space="0" w:color="auto" w:frame="1"/>
          <w:lang w:eastAsia="pl-PL"/>
        </w:rPr>
        <w:t>@: kozga@imm.com.pl</w:t>
      </w:r>
    </w:p>
    <w:p w14:paraId="1C4436CA" w14:textId="77777777" w:rsidR="00FF4312" w:rsidRPr="00FF4312" w:rsidRDefault="00FF4312" w:rsidP="00FF4312">
      <w:pPr>
        <w:spacing w:before="28" w:after="28" w:line="240" w:lineRule="auto"/>
        <w:jc w:val="both"/>
        <w:rPr>
          <w:rFonts w:eastAsia="Times New Roman" w:cs="Calibri"/>
          <w:b/>
          <w:bCs/>
          <w:bdr w:val="none" w:sz="0" w:space="0" w:color="auto" w:frame="1"/>
          <w:lang w:eastAsia="pl-PL"/>
        </w:rPr>
      </w:pPr>
      <w:r w:rsidRPr="00FF4312">
        <w:rPr>
          <w:rStyle w:val="Pogrubienie"/>
          <w:rFonts w:eastAsia="Times New Roman" w:cs="Calibri"/>
          <w:b w:val="0"/>
          <w:bCs w:val="0"/>
          <w:bdr w:val="none" w:sz="0" w:space="0" w:color="auto" w:frame="1"/>
          <w:lang w:eastAsia="pl-PL"/>
        </w:rPr>
        <w:t>Tel. +48 698 634 594</w:t>
      </w:r>
    </w:p>
    <w:p w14:paraId="7FF6B008" w14:textId="77777777" w:rsidR="00FF4312" w:rsidRPr="00E21D53" w:rsidRDefault="00FF4312" w:rsidP="00FF4312">
      <w:pPr>
        <w:spacing w:before="28" w:after="28" w:line="240" w:lineRule="auto"/>
        <w:jc w:val="both"/>
        <w:rPr>
          <w:rFonts w:eastAsia="Times New Roman" w:cs="Calibri"/>
          <w:bCs/>
          <w:bdr w:val="none" w:sz="0" w:space="0" w:color="auto" w:frame="1"/>
          <w:lang w:eastAsia="pl-PL"/>
        </w:rPr>
      </w:pPr>
      <w:r w:rsidRPr="00E21D53">
        <w:rPr>
          <w:rFonts w:cs="Calibri"/>
        </w:rPr>
        <w:t>__________________________________________________________________________________</w:t>
      </w:r>
    </w:p>
    <w:p w14:paraId="35CC1C24" w14:textId="77777777" w:rsidR="00FF4312" w:rsidRPr="00781F82" w:rsidRDefault="00FF4312" w:rsidP="00FF4312">
      <w:pPr>
        <w:spacing w:before="120" w:after="0" w:line="240" w:lineRule="auto"/>
        <w:jc w:val="both"/>
        <w:rPr>
          <w:rFonts w:cs="Calibri"/>
          <w:b/>
          <w:bCs/>
        </w:rPr>
      </w:pPr>
      <w:r w:rsidRPr="00E21D53">
        <w:rPr>
          <w:rFonts w:cs="Calibri"/>
          <w:b/>
          <w:bCs/>
        </w:rPr>
        <w:t xml:space="preserve">O Instytucie Monitorowania Mediów: </w:t>
      </w:r>
    </w:p>
    <w:p w14:paraId="72606705" w14:textId="77777777" w:rsidR="00FF4312" w:rsidRPr="00781F82" w:rsidRDefault="00FF4312" w:rsidP="00FF4312">
      <w:pPr>
        <w:spacing w:before="120" w:after="0" w:line="240" w:lineRule="auto"/>
        <w:jc w:val="both"/>
        <w:rPr>
          <w:rFonts w:cs="Calibri"/>
        </w:rPr>
      </w:pPr>
      <w:r w:rsidRPr="00781F82">
        <w:rPr>
          <w:rFonts w:cs="Calibri"/>
          <w:noProof/>
          <w:lang w:eastAsia="pl-PL"/>
        </w:rPr>
        <w:drawing>
          <wp:inline distT="0" distB="0" distL="0" distR="0" wp14:anchorId="775D11C4" wp14:editId="487F7C39">
            <wp:extent cx="461010" cy="167005"/>
            <wp:effectExtent l="0" t="0" r="0" b="0"/>
            <wp:docPr id="1" name="Obraz 4" descr="Logo_IMM_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_IMM_e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D53">
        <w:rPr>
          <w:rFonts w:cs="Calibri"/>
        </w:rPr>
        <w:t xml:space="preserve">  </w:t>
      </w:r>
      <w:r w:rsidRPr="006B0F17">
        <w:rPr>
          <w:rFonts w:cs="Calibri"/>
          <w:noProof/>
          <w:lang w:eastAsia="pl-PL"/>
        </w:rPr>
        <w:t xml:space="preserve">od przeszło 24 lat jest liderem w branży analityki przekazów mediowych w Polsce. Od 2008 roku oferuje swoje usługi również w Rumunii pod marką mediaTRUST. IMM wspiera firmy, instytucje i marki osobiste w efektywnym mierzeniu i raportowaniu wyników komunikacji zewnętrznej, planowaniu strategii oraz przeciwdziałaniu kryzysom wizerunkowym. Firma integruje wyniki publikacji ze wszystkich rodzajów mediów w jednym narzędziu, w tym jako jedyna na rynku również reklamy. Wykonuje raporty i analizy jakościowo-statystyczne. IMM obsługuje tysiące klientów w kraju i zagranicą — międzynarodowe korporacje, małe firmy, instytucje, administrację publiczną, organizacje pozarządowe, agencje PR, agencje marketingowe oraz marki osobiste. Monitoring IMM obejmuje prasę, radio, telewizję, portale internetowe, media społecznościowe, a także podcasty i kanały wideo.  </w:t>
      </w:r>
    </w:p>
    <w:p w14:paraId="2F27024C" w14:textId="617F9BBF" w:rsidR="00126394" w:rsidRPr="00474D3C" w:rsidRDefault="00126394" w:rsidP="00FF4312">
      <w:pPr>
        <w:tabs>
          <w:tab w:val="left" w:pos="2160"/>
        </w:tabs>
        <w:jc w:val="both"/>
      </w:pPr>
    </w:p>
    <w:sectPr w:rsidR="00126394" w:rsidRPr="00474D3C" w:rsidSect="00126394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6BFE8" w14:textId="77777777" w:rsidR="006E5CC0" w:rsidRDefault="006E5CC0" w:rsidP="006E5CC0">
      <w:pPr>
        <w:spacing w:after="0" w:line="240" w:lineRule="auto"/>
      </w:pPr>
      <w:r>
        <w:separator/>
      </w:r>
    </w:p>
  </w:endnote>
  <w:endnote w:type="continuationSeparator" w:id="0">
    <w:p w14:paraId="0404F93F" w14:textId="77777777" w:rsidR="006E5CC0" w:rsidRDefault="006E5CC0" w:rsidP="006E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2E8A4" w14:textId="4E45FA91" w:rsidR="006E5CC0" w:rsidRDefault="006E5CC0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AA66AA" wp14:editId="5E5702DC">
          <wp:simplePos x="0" y="0"/>
          <wp:positionH relativeFrom="column">
            <wp:posOffset>-12428</wp:posOffset>
          </wp:positionH>
          <wp:positionV relativeFrom="paragraph">
            <wp:posOffset>13335</wp:posOffset>
          </wp:positionV>
          <wp:extent cx="5760000" cy="554400"/>
          <wp:effectExtent l="0" t="0" r="0" b="0"/>
          <wp:wrapNone/>
          <wp:docPr id="13499115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911581" name="Obraz 13499115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BD0A09" w14:textId="77777777" w:rsidR="006E5CC0" w:rsidRDefault="006E5C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D137F" w14:textId="77777777" w:rsidR="006E5CC0" w:rsidRDefault="006E5CC0" w:rsidP="006E5CC0">
      <w:pPr>
        <w:spacing w:after="0" w:line="240" w:lineRule="auto"/>
      </w:pPr>
      <w:r>
        <w:separator/>
      </w:r>
    </w:p>
  </w:footnote>
  <w:footnote w:type="continuationSeparator" w:id="0">
    <w:p w14:paraId="59262909" w14:textId="77777777" w:rsidR="006E5CC0" w:rsidRDefault="006E5CC0" w:rsidP="006E5CC0">
      <w:pPr>
        <w:spacing w:after="0" w:line="240" w:lineRule="auto"/>
      </w:pPr>
      <w:r>
        <w:continuationSeparator/>
      </w:r>
    </w:p>
  </w:footnote>
  <w:footnote w:id="1">
    <w:p w14:paraId="4BA80BF5" w14:textId="77777777" w:rsidR="00FF4312" w:rsidRDefault="00FF4312" w:rsidP="00FF431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6C15D8">
        <w:t>eklam</w:t>
      </w:r>
      <w:r>
        <w:t>y</w:t>
      </w:r>
      <w:r w:rsidRPr="006C15D8">
        <w:t xml:space="preserve"> bezpośredni</w:t>
      </w:r>
      <w:r>
        <w:t>e</w:t>
      </w:r>
      <w:r w:rsidRPr="006C15D8">
        <w:t xml:space="preserve"> realizowane są przez producenta</w:t>
      </w:r>
      <w:r>
        <w:t xml:space="preserve"> danej marki lub usługi</w:t>
      </w:r>
      <w:r w:rsidRPr="006C15D8">
        <w:t>, natomiast w przypadku reklamy pośredniej przez dystrybutorów lub sprzedawców detalicznych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68FCD" w14:textId="5F623FE0" w:rsidR="006E5CC0" w:rsidRDefault="006E5CC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3966CA" wp14:editId="30AD0D06">
          <wp:simplePos x="0" y="0"/>
          <wp:positionH relativeFrom="column">
            <wp:posOffset>-67149</wp:posOffset>
          </wp:positionH>
          <wp:positionV relativeFrom="paragraph">
            <wp:posOffset>-108585</wp:posOffset>
          </wp:positionV>
          <wp:extent cx="1136469" cy="374313"/>
          <wp:effectExtent l="0" t="0" r="6985" b="6985"/>
          <wp:wrapNone/>
          <wp:docPr id="11019332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93326" name="Obraz 1101933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469" cy="374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C18A6"/>
    <w:multiLevelType w:val="hybridMultilevel"/>
    <w:tmpl w:val="899A5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4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C0"/>
    <w:rsid w:val="00111FD7"/>
    <w:rsid w:val="00126394"/>
    <w:rsid w:val="00166DA0"/>
    <w:rsid w:val="00330CD2"/>
    <w:rsid w:val="00474D3C"/>
    <w:rsid w:val="00673D38"/>
    <w:rsid w:val="006E5CC0"/>
    <w:rsid w:val="00852B57"/>
    <w:rsid w:val="00895F6C"/>
    <w:rsid w:val="008C5969"/>
    <w:rsid w:val="00933A47"/>
    <w:rsid w:val="00B42BA4"/>
    <w:rsid w:val="00CD4490"/>
    <w:rsid w:val="00CE1E26"/>
    <w:rsid w:val="00D00A66"/>
    <w:rsid w:val="00D04E9A"/>
    <w:rsid w:val="00ED1886"/>
    <w:rsid w:val="00F2603A"/>
    <w:rsid w:val="00F75AEF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B6BF9"/>
  <w15:chartTrackingRefBased/>
  <w15:docId w15:val="{36AEE91E-3215-4105-A5DB-544EE5BF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CC0"/>
  </w:style>
  <w:style w:type="paragraph" w:styleId="Stopka">
    <w:name w:val="footer"/>
    <w:basedOn w:val="Normalny"/>
    <w:link w:val="StopkaZnak"/>
    <w:uiPriority w:val="99"/>
    <w:unhideWhenUsed/>
    <w:rsid w:val="006E5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CC0"/>
  </w:style>
  <w:style w:type="paragraph" w:styleId="NormalnyWeb">
    <w:name w:val="Normal (Web)"/>
    <w:basedOn w:val="Normalny"/>
    <w:uiPriority w:val="99"/>
    <w:unhideWhenUsed/>
    <w:rsid w:val="00126394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63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639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74D3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4312"/>
    <w:pPr>
      <w:spacing w:after="0" w:line="240" w:lineRule="auto"/>
    </w:pPr>
    <w:rPr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4312"/>
    <w:rPr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312"/>
    <w:rPr>
      <w:vertAlign w:val="superscript"/>
    </w:rPr>
  </w:style>
  <w:style w:type="character" w:styleId="Pogrubienie">
    <w:name w:val="Strong"/>
    <w:uiPriority w:val="22"/>
    <w:qFormat/>
    <w:rsid w:val="00FF4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Ozga</dc:creator>
  <cp:keywords/>
  <dc:description/>
  <cp:lastModifiedBy>Katarzyna Ozga</cp:lastModifiedBy>
  <cp:revision>6</cp:revision>
  <cp:lastPrinted>2024-08-12T11:16:00Z</cp:lastPrinted>
  <dcterms:created xsi:type="dcterms:W3CDTF">2024-09-03T11:06:00Z</dcterms:created>
  <dcterms:modified xsi:type="dcterms:W3CDTF">2024-09-03T12:46:00Z</dcterms:modified>
</cp:coreProperties>
</file>